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DF" w:rsidRPr="00DA0ADF" w:rsidRDefault="00DA0ADF" w:rsidP="00DA0ADF">
      <w:pPr>
        <w:shd w:val="clear" w:color="auto" w:fill="EFEFEF"/>
        <w:spacing w:after="75" w:line="630" w:lineRule="atLeast"/>
        <w:jc w:val="center"/>
        <w:outlineLvl w:val="0"/>
        <w:rPr>
          <w:rFonts w:ascii="Arial" w:eastAsia="Times New Roman" w:hAnsi="Arial" w:cs="Arial"/>
          <w:b/>
          <w:bCs/>
          <w:color w:val="252525"/>
          <w:kern w:val="36"/>
          <w:sz w:val="36"/>
          <w:szCs w:val="36"/>
          <w:lang w:eastAsia="el-GR"/>
        </w:rPr>
      </w:pPr>
      <w:r w:rsidRPr="00BC5B40">
        <w:rPr>
          <w:rFonts w:ascii="Arial" w:eastAsia="Times New Roman" w:hAnsi="Arial" w:cs="Arial"/>
          <w:b/>
          <w:bCs/>
          <w:color w:val="252525"/>
          <w:kern w:val="36"/>
          <w:sz w:val="36"/>
          <w:szCs w:val="36"/>
          <w:lang w:eastAsia="el-GR"/>
        </w:rPr>
        <w:t xml:space="preserve">ΟΔΗΓΙΕΣ ΓΙΑ ΣΩΣΤΗ ΕΚΤΕΛΕΣΗ ΚΑΙ ΥΠΟΒΟΛΗ ΣΥΝΤΑΓΩΝ </w:t>
      </w:r>
      <w:r w:rsidRPr="00BC5B40">
        <w:rPr>
          <w:rFonts w:ascii="Arial" w:eastAsia="Times New Roman" w:hAnsi="Arial" w:cs="Arial"/>
          <w:b/>
          <w:bCs/>
          <w:color w:val="252525"/>
          <w:kern w:val="36"/>
          <w:sz w:val="36"/>
          <w:szCs w:val="36"/>
          <w:lang w:eastAsia="el-GR"/>
        </w:rPr>
        <w:br/>
        <w:t>ΣΤΡΑΤΙΩΤΙΚΩΝ ΤΑΜΕΙΩΝ</w:t>
      </w:r>
    </w:p>
    <w:p w:rsidR="000F1FCC" w:rsidRPr="000F1FCC" w:rsidRDefault="000F1FCC" w:rsidP="000F1FCC">
      <w:pPr>
        <w:spacing w:after="300" w:line="240" w:lineRule="auto"/>
        <w:jc w:val="both"/>
        <w:rPr>
          <w:rFonts w:eastAsia="Times New Roman" w:cs="Arial"/>
          <w:b/>
          <w:bCs/>
          <w:sz w:val="26"/>
          <w:szCs w:val="26"/>
          <w:lang w:eastAsia="el-GR"/>
        </w:rPr>
      </w:pPr>
      <w:r w:rsidRPr="000F1FCC">
        <w:rPr>
          <w:rFonts w:eastAsia="Times New Roman" w:cs="Arial"/>
          <w:b/>
          <w:bCs/>
          <w:sz w:val="26"/>
          <w:szCs w:val="26"/>
          <w:lang w:eastAsia="el-GR"/>
        </w:rPr>
        <w:t xml:space="preserve"> </w:t>
      </w:r>
    </w:p>
    <w:p w:rsidR="000F1FCC" w:rsidRPr="000F1FCC" w:rsidRDefault="000F1FCC" w:rsidP="00D211B8">
      <w:pPr>
        <w:pStyle w:val="a3"/>
        <w:numPr>
          <w:ilvl w:val="0"/>
          <w:numId w:val="11"/>
        </w:numPr>
        <w:spacing w:after="300"/>
        <w:jc w:val="both"/>
        <w:rPr>
          <w:rFonts w:eastAsia="Times New Roman" w:cs="Arial"/>
          <w:bCs/>
          <w:sz w:val="26"/>
          <w:szCs w:val="26"/>
          <w:lang w:eastAsia="el-GR"/>
        </w:rPr>
      </w:pPr>
      <w:r w:rsidRPr="000F1FCC">
        <w:rPr>
          <w:rFonts w:eastAsia="Times New Roman" w:cs="Arial"/>
          <w:bCs/>
          <w:sz w:val="26"/>
          <w:szCs w:val="26"/>
          <w:lang w:eastAsia="el-GR"/>
        </w:rPr>
        <w:t xml:space="preserve">Οι συνταγές εκτελούνται υποχρεωτικά μέσω του συστήματος της ηλεκτρονικής συνταγογράφησης ΣΗΣ. </w:t>
      </w:r>
      <w:r w:rsidR="00D211B8">
        <w:rPr>
          <w:rFonts w:eastAsia="Times New Roman" w:cs="Arial"/>
          <w:bCs/>
          <w:sz w:val="26"/>
          <w:szCs w:val="26"/>
          <w:lang w:eastAsia="el-GR"/>
        </w:rPr>
        <w:t>(</w:t>
      </w:r>
      <w:r w:rsidR="00D211B8" w:rsidRPr="00D211B8">
        <w:rPr>
          <w:rFonts w:eastAsia="Times New Roman" w:cs="Arial"/>
          <w:b/>
          <w:bCs/>
          <w:sz w:val="26"/>
          <w:szCs w:val="26"/>
          <w:lang w:eastAsia="el-GR"/>
        </w:rPr>
        <w:t>μόνο ηλεκτρονικές από 1</w:t>
      </w:r>
      <w:r w:rsidR="00D211B8" w:rsidRPr="00D211B8">
        <w:rPr>
          <w:rFonts w:eastAsia="Times New Roman" w:cs="Arial"/>
          <w:b/>
          <w:bCs/>
          <w:sz w:val="26"/>
          <w:szCs w:val="26"/>
          <w:vertAlign w:val="superscript"/>
          <w:lang w:eastAsia="el-GR"/>
        </w:rPr>
        <w:t>η</w:t>
      </w:r>
      <w:r w:rsidR="00D211B8" w:rsidRPr="00D211B8">
        <w:rPr>
          <w:rFonts w:eastAsia="Times New Roman" w:cs="Arial"/>
          <w:b/>
          <w:bCs/>
          <w:sz w:val="26"/>
          <w:szCs w:val="26"/>
          <w:lang w:eastAsia="el-GR"/>
        </w:rPr>
        <w:t xml:space="preserve"> Ιουλίου 2020 (ΒΛ. έγγραφο </w:t>
      </w:r>
      <w:hyperlink r:id="rId6" w:tgtFrame="_blank" w:history="1">
        <w:r w:rsidR="00D211B8" w:rsidRPr="00D211B8">
          <w:rPr>
            <w:rStyle w:val="-"/>
            <w:rFonts w:eastAsia="Times New Roman" w:cs="Arial"/>
            <w:b/>
            <w:bCs/>
            <w:sz w:val="26"/>
            <w:szCs w:val="26"/>
            <w:lang w:eastAsia="el-GR"/>
          </w:rPr>
          <w:t>ΣΗΣ ΛΗΞΗ ΠΑΡΑΤΑΣΗΣ</w:t>
        </w:r>
      </w:hyperlink>
      <w:r w:rsidR="00D211B8">
        <w:rPr>
          <w:rFonts w:eastAsia="Times New Roman" w:cs="Arial"/>
          <w:bCs/>
          <w:sz w:val="26"/>
          <w:szCs w:val="26"/>
          <w:lang w:eastAsia="el-GR"/>
        </w:rPr>
        <w:t>)</w:t>
      </w:r>
    </w:p>
    <w:p w:rsidR="000F1FCC" w:rsidRPr="000F1FCC" w:rsidRDefault="000F1FCC" w:rsidP="00D211B8">
      <w:pPr>
        <w:pStyle w:val="a3"/>
        <w:spacing w:after="300"/>
        <w:jc w:val="both"/>
        <w:rPr>
          <w:rFonts w:eastAsia="Times New Roman" w:cs="Arial"/>
          <w:bCs/>
          <w:sz w:val="26"/>
          <w:szCs w:val="26"/>
          <w:lang w:eastAsia="el-GR"/>
        </w:rPr>
      </w:pPr>
    </w:p>
    <w:p w:rsidR="000F1FCC" w:rsidRPr="000F1FCC" w:rsidRDefault="000F1FCC" w:rsidP="00D211B8">
      <w:pPr>
        <w:pStyle w:val="a3"/>
        <w:numPr>
          <w:ilvl w:val="0"/>
          <w:numId w:val="11"/>
        </w:numPr>
        <w:spacing w:after="300"/>
        <w:jc w:val="both"/>
        <w:rPr>
          <w:rFonts w:eastAsia="Times New Roman" w:cs="Arial"/>
          <w:bCs/>
          <w:sz w:val="26"/>
          <w:szCs w:val="26"/>
          <w:lang w:eastAsia="el-GR"/>
        </w:rPr>
      </w:pPr>
      <w:r w:rsidRPr="000F1FCC">
        <w:rPr>
          <w:rFonts w:eastAsia="Times New Roman" w:cs="Arial"/>
          <w:bCs/>
          <w:sz w:val="26"/>
          <w:szCs w:val="26"/>
          <w:lang w:eastAsia="el-GR"/>
        </w:rPr>
        <w:t xml:space="preserve">Στο απόκομμα της εκτέλεσης επικολλούνται οι ταινίες γνησιότητας των φαρμάκων και στις προβλεπόμενες θέσεις τίθεται υπογραφή και σφραγίδα του φαρμακοποιού και του ασφαλισμένου. </w:t>
      </w:r>
    </w:p>
    <w:p w:rsidR="000F1FCC" w:rsidRPr="000F1FCC" w:rsidRDefault="000F1FCC" w:rsidP="00D211B8">
      <w:pPr>
        <w:pStyle w:val="a3"/>
        <w:spacing w:after="300"/>
        <w:jc w:val="both"/>
        <w:rPr>
          <w:rFonts w:eastAsia="Times New Roman" w:cs="Arial"/>
          <w:bCs/>
          <w:sz w:val="26"/>
          <w:szCs w:val="26"/>
          <w:lang w:eastAsia="el-GR"/>
        </w:rPr>
      </w:pPr>
    </w:p>
    <w:p w:rsidR="00D211B8" w:rsidRPr="00D211B8" w:rsidRDefault="000F1FCC" w:rsidP="00D211B8">
      <w:pPr>
        <w:pStyle w:val="a3"/>
        <w:numPr>
          <w:ilvl w:val="0"/>
          <w:numId w:val="11"/>
        </w:numPr>
        <w:spacing w:after="300"/>
        <w:jc w:val="both"/>
        <w:rPr>
          <w:rFonts w:eastAsia="Times New Roman" w:cs="Arial"/>
          <w:bCs/>
          <w:sz w:val="26"/>
          <w:szCs w:val="26"/>
          <w:lang w:eastAsia="el-GR"/>
        </w:rPr>
      </w:pPr>
      <w:r w:rsidRPr="000F1FCC">
        <w:rPr>
          <w:sz w:val="26"/>
          <w:szCs w:val="26"/>
          <w:u w:val="single"/>
        </w:rPr>
        <w:t>Έκδοση χειρόγραφων συνταγών γίνονται μόνο στις παρακάτω περιπτώσεις</w:t>
      </w:r>
      <w:r w:rsidRPr="000F1FCC">
        <w:rPr>
          <w:sz w:val="26"/>
          <w:szCs w:val="26"/>
        </w:rPr>
        <w:t>:</w:t>
      </w:r>
    </w:p>
    <w:p w:rsidR="00D211B8" w:rsidRPr="00D211B8" w:rsidRDefault="00D211B8" w:rsidP="00D211B8">
      <w:pPr>
        <w:pStyle w:val="a3"/>
        <w:rPr>
          <w:sz w:val="26"/>
          <w:szCs w:val="26"/>
        </w:rPr>
      </w:pPr>
    </w:p>
    <w:p w:rsidR="00D211B8" w:rsidRPr="00D211B8" w:rsidRDefault="000F1FCC" w:rsidP="00D211B8">
      <w:pPr>
        <w:pStyle w:val="a3"/>
        <w:numPr>
          <w:ilvl w:val="0"/>
          <w:numId w:val="12"/>
        </w:numPr>
        <w:spacing w:after="300"/>
        <w:jc w:val="both"/>
        <w:rPr>
          <w:rFonts w:eastAsia="Times New Roman" w:cs="Arial"/>
          <w:bCs/>
          <w:sz w:val="26"/>
          <w:szCs w:val="26"/>
          <w:lang w:eastAsia="el-GR"/>
        </w:rPr>
      </w:pPr>
      <w:r w:rsidRPr="00D211B8">
        <w:rPr>
          <w:sz w:val="26"/>
          <w:szCs w:val="26"/>
        </w:rPr>
        <w:t>Όταν υπάρχει αποδεδειγμένη αδυναμία του ηλεκτρονικού συστήματος της ΗΔΙΚΑ ΑΕ. Αυτές εκτελούνται χειρόγραφα στο φύλλο της εντολής του ιατρού, επί του οποίου γίνεται η τιμολόγηση της συνταγής, επικολλούνται οι ταινίες γνησιότητας και υπογράφει ο φαρμακοποιός και ο ασφαλισμένος</w:t>
      </w:r>
      <w:r w:rsidR="00D211B8">
        <w:rPr>
          <w:sz w:val="26"/>
          <w:szCs w:val="26"/>
        </w:rPr>
        <w:t>.</w:t>
      </w:r>
    </w:p>
    <w:p w:rsidR="00D211B8" w:rsidRPr="00D211B8" w:rsidRDefault="00D211B8" w:rsidP="00D211B8">
      <w:pPr>
        <w:pStyle w:val="a3"/>
        <w:spacing w:after="300"/>
        <w:ind w:left="1505"/>
        <w:jc w:val="both"/>
        <w:rPr>
          <w:rFonts w:eastAsia="Times New Roman" w:cs="Arial"/>
          <w:bCs/>
          <w:sz w:val="26"/>
          <w:szCs w:val="26"/>
          <w:lang w:eastAsia="el-GR"/>
        </w:rPr>
      </w:pPr>
    </w:p>
    <w:p w:rsidR="000F1FCC" w:rsidRPr="00D211B8" w:rsidRDefault="000F1FCC" w:rsidP="00D211B8">
      <w:pPr>
        <w:pStyle w:val="a3"/>
        <w:numPr>
          <w:ilvl w:val="0"/>
          <w:numId w:val="12"/>
        </w:numPr>
        <w:spacing w:after="300"/>
        <w:jc w:val="both"/>
        <w:rPr>
          <w:rFonts w:eastAsia="Times New Roman" w:cs="Arial"/>
          <w:bCs/>
          <w:sz w:val="26"/>
          <w:szCs w:val="26"/>
          <w:lang w:eastAsia="el-GR"/>
        </w:rPr>
      </w:pPr>
      <w:r w:rsidRPr="00D211B8">
        <w:rPr>
          <w:sz w:val="26"/>
          <w:szCs w:val="26"/>
        </w:rPr>
        <w:t xml:space="preserve">Για τη συνταγογράφηση των παρακάτω φαρμάκων, τα οποία δε δύναται να </w:t>
      </w:r>
      <w:proofErr w:type="spellStart"/>
      <w:r w:rsidRPr="00D211B8">
        <w:rPr>
          <w:sz w:val="26"/>
          <w:szCs w:val="26"/>
        </w:rPr>
        <w:t>συνταγογραφηθούν</w:t>
      </w:r>
      <w:proofErr w:type="spellEnd"/>
      <w:r w:rsidRPr="00D211B8">
        <w:rPr>
          <w:sz w:val="26"/>
          <w:szCs w:val="26"/>
        </w:rPr>
        <w:t xml:space="preserve"> ηλεκτρονικά:</w:t>
      </w:r>
    </w:p>
    <w:p w:rsidR="000F1FCC" w:rsidRPr="000F1FCC" w:rsidRDefault="000F1FCC" w:rsidP="00D211B8">
      <w:pPr>
        <w:pStyle w:val="para3"/>
        <w:numPr>
          <w:ilvl w:val="2"/>
          <w:numId w:val="14"/>
        </w:numPr>
        <w:tabs>
          <w:tab w:val="left" w:pos="540"/>
        </w:tabs>
        <w:spacing w:line="276" w:lineRule="auto"/>
        <w:jc w:val="both"/>
        <w:rPr>
          <w:rFonts w:asciiTheme="minorHAnsi" w:hAnsiTheme="minorHAnsi"/>
          <w:sz w:val="26"/>
          <w:szCs w:val="26"/>
        </w:rPr>
      </w:pPr>
      <w:r w:rsidRPr="000F1FCC">
        <w:rPr>
          <w:rFonts w:asciiTheme="minorHAnsi" w:hAnsiTheme="minorHAnsi"/>
          <w:sz w:val="26"/>
          <w:szCs w:val="26"/>
        </w:rPr>
        <w:t>Εμβόλια απευαισθητοποίησης.</w:t>
      </w:r>
    </w:p>
    <w:p w:rsidR="000F1FCC" w:rsidRPr="000F1FCC" w:rsidRDefault="000F1FCC" w:rsidP="00D211B8">
      <w:pPr>
        <w:pStyle w:val="para3"/>
        <w:numPr>
          <w:ilvl w:val="2"/>
          <w:numId w:val="14"/>
        </w:numPr>
        <w:tabs>
          <w:tab w:val="left" w:pos="540"/>
        </w:tabs>
        <w:spacing w:line="276" w:lineRule="auto"/>
        <w:jc w:val="both"/>
        <w:rPr>
          <w:rFonts w:asciiTheme="minorHAnsi" w:hAnsiTheme="minorHAnsi"/>
          <w:sz w:val="26"/>
          <w:szCs w:val="26"/>
        </w:rPr>
      </w:pPr>
      <w:proofErr w:type="spellStart"/>
      <w:r w:rsidRPr="000F1FCC">
        <w:rPr>
          <w:rFonts w:asciiTheme="minorHAnsi" w:hAnsiTheme="minorHAnsi"/>
          <w:sz w:val="26"/>
          <w:szCs w:val="26"/>
        </w:rPr>
        <w:t>Αντιρετροϊκά</w:t>
      </w:r>
      <w:proofErr w:type="spellEnd"/>
      <w:r w:rsidRPr="000F1FCC">
        <w:rPr>
          <w:rFonts w:asciiTheme="minorHAnsi" w:hAnsiTheme="minorHAnsi"/>
          <w:sz w:val="26"/>
          <w:szCs w:val="26"/>
        </w:rPr>
        <w:t xml:space="preserve"> φάρμακα σε ειδικό συνταγολόγιο.</w:t>
      </w:r>
    </w:p>
    <w:p w:rsidR="00DA0ADF" w:rsidRDefault="000F1FCC" w:rsidP="00D211B8">
      <w:pPr>
        <w:pStyle w:val="para3"/>
        <w:numPr>
          <w:ilvl w:val="2"/>
          <w:numId w:val="14"/>
        </w:numPr>
        <w:tabs>
          <w:tab w:val="left" w:pos="540"/>
        </w:tabs>
        <w:spacing w:line="276" w:lineRule="auto"/>
        <w:jc w:val="both"/>
        <w:rPr>
          <w:rFonts w:asciiTheme="minorHAnsi" w:hAnsiTheme="minorHAnsi"/>
          <w:sz w:val="26"/>
          <w:szCs w:val="26"/>
        </w:rPr>
      </w:pPr>
      <w:r w:rsidRPr="000F1FCC">
        <w:rPr>
          <w:rFonts w:asciiTheme="minorHAnsi" w:hAnsiTheme="minorHAnsi"/>
          <w:sz w:val="26"/>
          <w:szCs w:val="26"/>
        </w:rPr>
        <w:t>Φάρμακα που κυκλοφορούν στη χώρα αλλά δεν έχουν ενταχθεί στη θετική λίστα αποζημιούμενων φαρμάκων του Υπουργείου Υγείας.</w:t>
      </w:r>
      <w:r w:rsidR="008C1E2C">
        <w:rPr>
          <w:rFonts w:asciiTheme="minorHAnsi" w:hAnsiTheme="minorHAnsi"/>
          <w:sz w:val="26"/>
          <w:szCs w:val="26"/>
        </w:rPr>
        <w:t xml:space="preserve"> </w:t>
      </w:r>
    </w:p>
    <w:p w:rsidR="0024281B" w:rsidRPr="0024281B" w:rsidRDefault="0024281B" w:rsidP="0024281B">
      <w:pPr>
        <w:pStyle w:val="para3"/>
        <w:tabs>
          <w:tab w:val="left" w:pos="540"/>
        </w:tabs>
        <w:spacing w:line="276" w:lineRule="auto"/>
        <w:ind w:left="2160" w:firstLine="0"/>
        <w:jc w:val="both"/>
        <w:rPr>
          <w:rFonts w:asciiTheme="minorHAnsi" w:hAnsiTheme="minorHAnsi"/>
          <w:sz w:val="26"/>
          <w:szCs w:val="26"/>
        </w:rPr>
      </w:pPr>
    </w:p>
    <w:p w:rsidR="00304191" w:rsidRPr="00304191" w:rsidRDefault="00304191" w:rsidP="00D211B8">
      <w:pPr>
        <w:jc w:val="both"/>
        <w:rPr>
          <w:sz w:val="26"/>
          <w:szCs w:val="26"/>
        </w:rPr>
      </w:pPr>
      <w:r w:rsidRPr="00304191">
        <w:rPr>
          <w:b/>
          <w:bCs/>
          <w:sz w:val="26"/>
          <w:szCs w:val="26"/>
        </w:rPr>
        <w:t>Α. ΦΑΡΜΑΚΑ</w:t>
      </w:r>
    </w:p>
    <w:p w:rsidR="00BE4DF0" w:rsidRDefault="00BE4DF0" w:rsidP="00D211B8">
      <w:pPr>
        <w:numPr>
          <w:ilvl w:val="0"/>
          <w:numId w:val="1"/>
        </w:numPr>
        <w:jc w:val="both"/>
        <w:rPr>
          <w:bCs/>
          <w:sz w:val="26"/>
          <w:szCs w:val="26"/>
        </w:rPr>
      </w:pPr>
      <w:r w:rsidRPr="00BE4DF0">
        <w:rPr>
          <w:bCs/>
          <w:sz w:val="26"/>
          <w:szCs w:val="26"/>
        </w:rPr>
        <w:t>Συνταγές αξίας άνω των 150€ ή/και σε συνταγές δίμηνης διάρκειας σε χρόνιες παθήσεις α</w:t>
      </w:r>
      <w:r>
        <w:rPr>
          <w:bCs/>
          <w:sz w:val="26"/>
          <w:szCs w:val="26"/>
        </w:rPr>
        <w:t xml:space="preserve">παιτείται θεώρηση, ακόμα κι αν είναι ηλεκτρονικές. Η θεώρηση των ηλεκτρονικών θα γίνεται ηλεκτρονικά μέσα από το σύστημα. </w:t>
      </w:r>
    </w:p>
    <w:p w:rsidR="00BE4DF0" w:rsidRDefault="00BE4DF0" w:rsidP="00D211B8">
      <w:pPr>
        <w:numPr>
          <w:ilvl w:val="0"/>
          <w:numId w:val="1"/>
        </w:numPr>
        <w:jc w:val="both"/>
        <w:rPr>
          <w:bCs/>
          <w:sz w:val="26"/>
          <w:szCs w:val="26"/>
        </w:rPr>
      </w:pPr>
      <w:r>
        <w:rPr>
          <w:bCs/>
          <w:sz w:val="26"/>
          <w:szCs w:val="26"/>
        </w:rPr>
        <w:t>Επιτρέπονται δίμηνες συνταγές (θέλουν θεώρηση).</w:t>
      </w:r>
    </w:p>
    <w:p w:rsidR="00C81DAA" w:rsidRPr="00C81DAA" w:rsidRDefault="00304191" w:rsidP="00C81DAA">
      <w:pPr>
        <w:numPr>
          <w:ilvl w:val="0"/>
          <w:numId w:val="1"/>
        </w:numPr>
        <w:jc w:val="both"/>
        <w:rPr>
          <w:bCs/>
          <w:sz w:val="26"/>
          <w:szCs w:val="26"/>
        </w:rPr>
      </w:pPr>
      <w:r w:rsidRPr="00BE4DF0">
        <w:rPr>
          <w:bCs/>
          <w:sz w:val="26"/>
          <w:szCs w:val="26"/>
        </w:rPr>
        <w:t>Επιτρέπεται η συνταγογράφηση έως και τριών διαφορετικών δραστικών ουσιών ανά εντολή ΑΒΝ και να μην υπερβαίνει τις 30 ημέρες θεραπεία.</w:t>
      </w:r>
    </w:p>
    <w:p w:rsidR="00C81DAA" w:rsidRPr="00C81DAA" w:rsidRDefault="00C81DAA" w:rsidP="00C81DAA">
      <w:pPr>
        <w:numPr>
          <w:ilvl w:val="0"/>
          <w:numId w:val="1"/>
        </w:numPr>
        <w:jc w:val="both"/>
        <w:rPr>
          <w:bCs/>
          <w:sz w:val="26"/>
          <w:szCs w:val="26"/>
        </w:rPr>
      </w:pPr>
      <w:r w:rsidRPr="00C81DAA">
        <w:rPr>
          <w:bCs/>
          <w:sz w:val="26"/>
          <w:szCs w:val="26"/>
        </w:rPr>
        <w:t xml:space="preserve">Στους </w:t>
      </w:r>
      <w:r w:rsidRPr="00A4455A">
        <w:rPr>
          <w:b/>
          <w:bCs/>
          <w:sz w:val="26"/>
          <w:szCs w:val="26"/>
          <w:u w:val="single"/>
        </w:rPr>
        <w:t>εν ενεργεία στρατιωτικούς</w:t>
      </w:r>
      <w:r w:rsidRPr="00C81DAA">
        <w:rPr>
          <w:b/>
          <w:bCs/>
          <w:sz w:val="26"/>
          <w:szCs w:val="26"/>
        </w:rPr>
        <w:t xml:space="preserve"> </w:t>
      </w:r>
      <w:r w:rsidRPr="00C81DAA">
        <w:rPr>
          <w:bCs/>
          <w:sz w:val="26"/>
          <w:szCs w:val="26"/>
        </w:rPr>
        <w:t xml:space="preserve">μπορούν να </w:t>
      </w:r>
      <w:proofErr w:type="spellStart"/>
      <w:r w:rsidRPr="00C81DAA">
        <w:rPr>
          <w:bCs/>
          <w:sz w:val="26"/>
          <w:szCs w:val="26"/>
        </w:rPr>
        <w:t>συνταγογραφήσουν</w:t>
      </w:r>
      <w:proofErr w:type="spellEnd"/>
      <w:r w:rsidRPr="00C81DAA">
        <w:rPr>
          <w:b/>
          <w:bCs/>
          <w:sz w:val="26"/>
          <w:szCs w:val="26"/>
        </w:rPr>
        <w:t xml:space="preserve"> : </w:t>
      </w:r>
    </w:p>
    <w:p w:rsidR="00C81DAA" w:rsidRPr="007774E8" w:rsidRDefault="00C81DAA" w:rsidP="00C81DAA">
      <w:pPr>
        <w:pStyle w:val="a3"/>
        <w:numPr>
          <w:ilvl w:val="0"/>
          <w:numId w:val="17"/>
        </w:numPr>
        <w:rPr>
          <w:b/>
          <w:bCs/>
          <w:sz w:val="26"/>
          <w:szCs w:val="26"/>
        </w:rPr>
      </w:pPr>
      <w:r w:rsidRPr="007774E8">
        <w:rPr>
          <w:b/>
          <w:bCs/>
          <w:sz w:val="26"/>
          <w:szCs w:val="26"/>
        </w:rPr>
        <w:t xml:space="preserve">Ιατροί μονάδων </w:t>
      </w:r>
    </w:p>
    <w:p w:rsidR="00C81DAA" w:rsidRPr="007774E8" w:rsidRDefault="00C81DAA" w:rsidP="00C81DAA">
      <w:pPr>
        <w:pStyle w:val="a3"/>
        <w:numPr>
          <w:ilvl w:val="0"/>
          <w:numId w:val="17"/>
        </w:numPr>
        <w:rPr>
          <w:b/>
          <w:bCs/>
          <w:sz w:val="26"/>
          <w:szCs w:val="26"/>
        </w:rPr>
      </w:pPr>
      <w:r w:rsidRPr="007774E8">
        <w:rPr>
          <w:b/>
          <w:bCs/>
          <w:sz w:val="26"/>
          <w:szCs w:val="26"/>
        </w:rPr>
        <w:t xml:space="preserve">Ιατροί Στρατιωτικών Νοσοκομείων </w:t>
      </w:r>
    </w:p>
    <w:p w:rsidR="00C81DAA" w:rsidRPr="007774E8" w:rsidRDefault="00C81DAA" w:rsidP="00C81DAA">
      <w:pPr>
        <w:pStyle w:val="a3"/>
        <w:numPr>
          <w:ilvl w:val="0"/>
          <w:numId w:val="17"/>
        </w:numPr>
        <w:rPr>
          <w:b/>
          <w:bCs/>
          <w:sz w:val="26"/>
          <w:szCs w:val="26"/>
        </w:rPr>
      </w:pPr>
      <w:r w:rsidRPr="007774E8">
        <w:rPr>
          <w:b/>
          <w:bCs/>
          <w:sz w:val="26"/>
          <w:szCs w:val="26"/>
        </w:rPr>
        <w:lastRenderedPageBreak/>
        <w:t>Τμήματα Επειγόντων των Δημοσίων Νοσοκομείων</w:t>
      </w:r>
    </w:p>
    <w:p w:rsidR="00C81DAA" w:rsidRPr="007774E8" w:rsidRDefault="00C81DAA" w:rsidP="00C81DAA">
      <w:pPr>
        <w:ind w:left="709" w:hanging="851"/>
        <w:rPr>
          <w:bCs/>
          <w:sz w:val="26"/>
          <w:szCs w:val="26"/>
        </w:rPr>
      </w:pPr>
      <w:r w:rsidRPr="007774E8">
        <w:rPr>
          <w:b/>
          <w:bCs/>
          <w:sz w:val="26"/>
          <w:szCs w:val="26"/>
        </w:rPr>
        <w:tab/>
      </w:r>
      <w:r w:rsidRPr="007774E8">
        <w:rPr>
          <w:bCs/>
          <w:sz w:val="26"/>
          <w:szCs w:val="26"/>
        </w:rPr>
        <w:t xml:space="preserve">Στην περίπτωση απουσίας ειδικού ιατρού σε κάποια από τις παραπάνω μονάδες, μπορεί να </w:t>
      </w:r>
      <w:proofErr w:type="spellStart"/>
      <w:r w:rsidRPr="007774E8">
        <w:rPr>
          <w:bCs/>
          <w:sz w:val="26"/>
          <w:szCs w:val="26"/>
        </w:rPr>
        <w:t>συνταγογραφήσει</w:t>
      </w:r>
      <w:proofErr w:type="spellEnd"/>
      <w:r w:rsidRPr="007774E8">
        <w:rPr>
          <w:bCs/>
          <w:sz w:val="26"/>
          <w:szCs w:val="26"/>
        </w:rPr>
        <w:t xml:space="preserve"> σε : </w:t>
      </w:r>
    </w:p>
    <w:p w:rsidR="00C81DAA" w:rsidRPr="007774E8" w:rsidRDefault="00C81DAA" w:rsidP="00C81DAA">
      <w:pPr>
        <w:pStyle w:val="a3"/>
        <w:numPr>
          <w:ilvl w:val="0"/>
          <w:numId w:val="18"/>
        </w:numPr>
        <w:rPr>
          <w:bCs/>
          <w:sz w:val="26"/>
          <w:szCs w:val="26"/>
        </w:rPr>
      </w:pPr>
      <w:r w:rsidRPr="007774E8">
        <w:rPr>
          <w:bCs/>
          <w:sz w:val="26"/>
          <w:szCs w:val="26"/>
        </w:rPr>
        <w:t xml:space="preserve">Δημόσια Δομή (Νοσοκομείο, Κέντρο Υγείας, Περιφερειακό Ιατρείο) </w:t>
      </w:r>
      <w:r>
        <w:rPr>
          <w:bCs/>
          <w:sz w:val="26"/>
          <w:szCs w:val="26"/>
        </w:rPr>
        <w:br/>
      </w:r>
    </w:p>
    <w:p w:rsidR="00C81DAA" w:rsidRPr="00C81DAA" w:rsidRDefault="00C81DAA" w:rsidP="00C81DAA">
      <w:pPr>
        <w:pStyle w:val="a3"/>
        <w:numPr>
          <w:ilvl w:val="0"/>
          <w:numId w:val="18"/>
        </w:numPr>
        <w:rPr>
          <w:bCs/>
          <w:sz w:val="26"/>
          <w:szCs w:val="26"/>
        </w:rPr>
      </w:pPr>
      <w:r w:rsidRPr="007774E8">
        <w:rPr>
          <w:bCs/>
          <w:sz w:val="26"/>
          <w:szCs w:val="26"/>
        </w:rPr>
        <w:t xml:space="preserve">Ιδιώτες Ιατρούς </w:t>
      </w:r>
      <w:r>
        <w:rPr>
          <w:bCs/>
          <w:sz w:val="26"/>
          <w:szCs w:val="26"/>
        </w:rPr>
        <w:t xml:space="preserve">: </w:t>
      </w:r>
      <w:r w:rsidRPr="009A4764">
        <w:rPr>
          <w:bCs/>
          <w:sz w:val="26"/>
          <w:szCs w:val="26"/>
        </w:rPr>
        <w:t>Η συνταγογράφηση σε εν ενεργεία στρατιωτικούς (μπλε εντολή) από ιδιώτη ιατρό επιτρέπεται μόνο σε έλλειψη στρατιωτικού ιατρού και ιατρού δημόσιου νοσοκομείου στην περιοχή. Όταν συμβαίνει αυτό, να πιστοποιείται με βεβαίωση από την Υγειονομική Υπηρεσία της Μονάδας ή με σχετικό παραπεμπτικό ή με θεώρηση από ελεγκτή ιατρό.</w:t>
      </w:r>
    </w:p>
    <w:p w:rsidR="00A4455A" w:rsidRDefault="00A4455A" w:rsidP="00C81DAA">
      <w:pPr>
        <w:ind w:left="720"/>
        <w:rPr>
          <w:bCs/>
          <w:sz w:val="26"/>
          <w:szCs w:val="26"/>
        </w:rPr>
      </w:pPr>
    </w:p>
    <w:p w:rsidR="00C81DAA" w:rsidRPr="00A4455A" w:rsidRDefault="00C81DAA" w:rsidP="00A4455A">
      <w:pPr>
        <w:pStyle w:val="a3"/>
        <w:numPr>
          <w:ilvl w:val="0"/>
          <w:numId w:val="20"/>
        </w:numPr>
        <w:ind w:left="709" w:hanging="283"/>
        <w:rPr>
          <w:b/>
          <w:bCs/>
          <w:sz w:val="26"/>
          <w:szCs w:val="26"/>
        </w:rPr>
      </w:pPr>
      <w:r w:rsidRPr="00A4455A">
        <w:rPr>
          <w:b/>
          <w:bCs/>
          <w:sz w:val="26"/>
          <w:szCs w:val="26"/>
        </w:rPr>
        <w:t xml:space="preserve">ΠΡΟΣΟΧΗ!  Η </w:t>
      </w:r>
      <w:r w:rsidR="00A4455A" w:rsidRPr="00A4455A">
        <w:rPr>
          <w:b/>
          <w:bCs/>
          <w:sz w:val="26"/>
          <w:szCs w:val="26"/>
        </w:rPr>
        <w:t xml:space="preserve">συνταγή πρέπει να φέρει </w:t>
      </w:r>
      <w:r w:rsidRPr="00A4455A">
        <w:rPr>
          <w:b/>
          <w:bCs/>
          <w:sz w:val="26"/>
          <w:szCs w:val="26"/>
        </w:rPr>
        <w:t xml:space="preserve"> </w:t>
      </w:r>
      <w:r w:rsidRPr="00A4455A">
        <w:rPr>
          <w:b/>
          <w:bCs/>
          <w:sz w:val="26"/>
          <w:szCs w:val="26"/>
          <w:u w:val="single"/>
        </w:rPr>
        <w:t>οπωσδήποτε</w:t>
      </w:r>
      <w:r w:rsidRPr="00A4455A">
        <w:rPr>
          <w:b/>
          <w:bCs/>
          <w:sz w:val="26"/>
          <w:szCs w:val="26"/>
        </w:rPr>
        <w:t xml:space="preserve"> : </w:t>
      </w:r>
    </w:p>
    <w:p w:rsidR="00C81DAA" w:rsidRPr="00A4455A" w:rsidRDefault="00C81DAA" w:rsidP="00C81DAA">
      <w:pPr>
        <w:numPr>
          <w:ilvl w:val="1"/>
          <w:numId w:val="1"/>
        </w:numPr>
        <w:rPr>
          <w:b/>
          <w:bCs/>
          <w:sz w:val="26"/>
          <w:szCs w:val="26"/>
        </w:rPr>
      </w:pPr>
      <w:r w:rsidRPr="00A4455A">
        <w:rPr>
          <w:b/>
          <w:bCs/>
          <w:sz w:val="26"/>
          <w:szCs w:val="26"/>
        </w:rPr>
        <w:t xml:space="preserve">την χορηγούμενη ποσότητα και ολογράφως &amp; την δοσολογία χορήγησης, </w:t>
      </w:r>
    </w:p>
    <w:p w:rsidR="00C81DAA" w:rsidRPr="00A4455A" w:rsidRDefault="00C81DAA" w:rsidP="00C81DAA">
      <w:pPr>
        <w:numPr>
          <w:ilvl w:val="1"/>
          <w:numId w:val="1"/>
        </w:numPr>
        <w:rPr>
          <w:b/>
          <w:bCs/>
          <w:sz w:val="26"/>
          <w:szCs w:val="26"/>
        </w:rPr>
      </w:pPr>
      <w:r w:rsidRPr="00A4455A">
        <w:rPr>
          <w:b/>
          <w:bCs/>
          <w:sz w:val="26"/>
          <w:szCs w:val="26"/>
        </w:rPr>
        <w:t>υπογραφή από τον δικαιούχο περιθαλπόμενο.</w:t>
      </w:r>
    </w:p>
    <w:p w:rsidR="00A4455A" w:rsidRPr="00A4455A" w:rsidRDefault="00C81DAA" w:rsidP="00C81DAA">
      <w:pPr>
        <w:numPr>
          <w:ilvl w:val="1"/>
          <w:numId w:val="1"/>
        </w:numPr>
        <w:rPr>
          <w:b/>
          <w:bCs/>
          <w:sz w:val="26"/>
          <w:szCs w:val="26"/>
        </w:rPr>
      </w:pPr>
      <w:r w:rsidRPr="00A4455A">
        <w:rPr>
          <w:b/>
          <w:bCs/>
          <w:sz w:val="26"/>
          <w:szCs w:val="26"/>
        </w:rPr>
        <w:t>υπογραφή και σφραγίδα του φαρμα</w:t>
      </w:r>
      <w:r w:rsidR="00A4455A">
        <w:rPr>
          <w:b/>
          <w:bCs/>
          <w:sz w:val="26"/>
          <w:szCs w:val="26"/>
        </w:rPr>
        <w:t>κοποιού που εκτελεί τη συνταγή &amp;</w:t>
      </w:r>
    </w:p>
    <w:p w:rsidR="00C81DAA" w:rsidRPr="00A4455A" w:rsidRDefault="00C81DAA" w:rsidP="00C81DAA">
      <w:pPr>
        <w:numPr>
          <w:ilvl w:val="1"/>
          <w:numId w:val="1"/>
        </w:numPr>
        <w:rPr>
          <w:b/>
          <w:bCs/>
          <w:sz w:val="26"/>
          <w:szCs w:val="26"/>
        </w:rPr>
      </w:pPr>
      <w:r w:rsidRPr="00A4455A">
        <w:rPr>
          <w:b/>
          <w:bCs/>
          <w:sz w:val="26"/>
          <w:szCs w:val="26"/>
        </w:rPr>
        <w:t>ημερομηνία εκτελέσεώς της.</w:t>
      </w:r>
      <w:r w:rsidR="00A4455A" w:rsidRPr="00A4455A">
        <w:rPr>
          <w:b/>
          <w:bCs/>
          <w:sz w:val="26"/>
          <w:szCs w:val="26"/>
        </w:rPr>
        <w:t xml:space="preserve"> </w:t>
      </w:r>
      <w:r w:rsidRPr="00A4455A">
        <w:rPr>
          <w:b/>
          <w:bCs/>
          <w:sz w:val="26"/>
          <w:szCs w:val="26"/>
        </w:rPr>
        <w:t xml:space="preserve"> </w:t>
      </w:r>
    </w:p>
    <w:p w:rsidR="00A4455A" w:rsidRPr="00A4455A" w:rsidRDefault="00A4455A" w:rsidP="00A4455A">
      <w:pPr>
        <w:numPr>
          <w:ilvl w:val="1"/>
          <w:numId w:val="1"/>
        </w:numPr>
        <w:rPr>
          <w:b/>
          <w:bCs/>
          <w:sz w:val="26"/>
          <w:szCs w:val="26"/>
        </w:rPr>
      </w:pPr>
      <w:r w:rsidRPr="00A4455A">
        <w:rPr>
          <w:b/>
          <w:bCs/>
          <w:sz w:val="26"/>
          <w:szCs w:val="26"/>
        </w:rPr>
        <w:t xml:space="preserve">Χρειάζεται να επικολλάμε επάνω τα άυλα κουπόνια των υλικών. </w:t>
      </w:r>
    </w:p>
    <w:p w:rsidR="00304191" w:rsidRPr="00015904" w:rsidRDefault="00304191" w:rsidP="00D211B8">
      <w:pPr>
        <w:numPr>
          <w:ilvl w:val="0"/>
          <w:numId w:val="1"/>
        </w:numPr>
        <w:jc w:val="both"/>
        <w:rPr>
          <w:bCs/>
          <w:sz w:val="26"/>
          <w:szCs w:val="26"/>
        </w:rPr>
      </w:pPr>
      <w:r w:rsidRPr="00015904">
        <w:rPr>
          <w:bCs/>
          <w:sz w:val="26"/>
          <w:szCs w:val="26"/>
        </w:rPr>
        <w:t>Η ημερομηνία συνταγογράφησης από την ημερομηνία εκτέλεσης από το φαρμακοποιό να μην υπερβαίνει τις πέντε (5) εργάσιμες ημέρες.</w:t>
      </w:r>
    </w:p>
    <w:p w:rsidR="00015904" w:rsidRPr="00015904" w:rsidRDefault="00015904" w:rsidP="00D211B8">
      <w:pPr>
        <w:numPr>
          <w:ilvl w:val="0"/>
          <w:numId w:val="1"/>
        </w:numPr>
        <w:spacing w:after="0"/>
        <w:jc w:val="both"/>
        <w:rPr>
          <w:bCs/>
          <w:sz w:val="26"/>
          <w:szCs w:val="26"/>
        </w:rPr>
      </w:pPr>
      <w:r w:rsidRPr="00015904">
        <w:rPr>
          <w:bCs/>
          <w:sz w:val="26"/>
          <w:szCs w:val="26"/>
        </w:rPr>
        <w:t xml:space="preserve">Τα </w:t>
      </w:r>
      <w:r w:rsidRPr="00015904">
        <w:rPr>
          <w:b/>
          <w:bCs/>
          <w:sz w:val="26"/>
          <w:szCs w:val="26"/>
        </w:rPr>
        <w:t>Φάρμακα Υψηλού Κόστους (ΦΥΚ)</w:t>
      </w:r>
      <w:r w:rsidRPr="00015904">
        <w:rPr>
          <w:bCs/>
          <w:sz w:val="26"/>
          <w:szCs w:val="26"/>
        </w:rPr>
        <w:t xml:space="preserve"> ΦΕΚ Β’ 1119/2016 (πίνακας 1β)  εκτελούνται κανονικά από τα φαρμακεία. Ο φαρμακοποιός ελέγχει :</w:t>
      </w:r>
    </w:p>
    <w:p w:rsidR="00015904" w:rsidRDefault="00015904" w:rsidP="00D211B8">
      <w:pPr>
        <w:numPr>
          <w:ilvl w:val="1"/>
          <w:numId w:val="1"/>
        </w:numPr>
        <w:spacing w:after="0"/>
        <w:jc w:val="both"/>
        <w:rPr>
          <w:bCs/>
          <w:sz w:val="26"/>
          <w:szCs w:val="26"/>
        </w:rPr>
      </w:pPr>
      <w:r w:rsidRPr="00015904">
        <w:rPr>
          <w:bCs/>
          <w:sz w:val="26"/>
          <w:szCs w:val="26"/>
        </w:rPr>
        <w:t xml:space="preserve">τα αναγκαία στοιχεία της συνταγής, </w:t>
      </w:r>
    </w:p>
    <w:p w:rsidR="00015904" w:rsidRDefault="00015904" w:rsidP="00D211B8">
      <w:pPr>
        <w:numPr>
          <w:ilvl w:val="1"/>
          <w:numId w:val="1"/>
        </w:numPr>
        <w:spacing w:after="0"/>
        <w:jc w:val="both"/>
        <w:rPr>
          <w:bCs/>
          <w:sz w:val="26"/>
          <w:szCs w:val="26"/>
        </w:rPr>
      </w:pPr>
      <w:r w:rsidRPr="00015904">
        <w:rPr>
          <w:bCs/>
          <w:sz w:val="26"/>
          <w:szCs w:val="26"/>
        </w:rPr>
        <w:t xml:space="preserve">την ταυτοπροσωπία του δικαιούχου ή την ύπαρξη νόμιμης εξουσιοδότησης για την παραλαβή του φαρμάκου από τρίτο άτομο, </w:t>
      </w:r>
    </w:p>
    <w:p w:rsidR="00015904" w:rsidRDefault="00015904" w:rsidP="00D211B8">
      <w:pPr>
        <w:numPr>
          <w:ilvl w:val="1"/>
          <w:numId w:val="1"/>
        </w:numPr>
        <w:spacing w:after="0"/>
        <w:jc w:val="both"/>
        <w:rPr>
          <w:bCs/>
          <w:sz w:val="26"/>
          <w:szCs w:val="26"/>
        </w:rPr>
      </w:pPr>
      <w:r w:rsidRPr="00015904">
        <w:rPr>
          <w:bCs/>
          <w:sz w:val="26"/>
          <w:szCs w:val="26"/>
        </w:rPr>
        <w:t xml:space="preserve">τη διάθεση του ορθού σκευάσματος, </w:t>
      </w:r>
    </w:p>
    <w:p w:rsidR="00015904" w:rsidRDefault="00015904" w:rsidP="00D211B8">
      <w:pPr>
        <w:numPr>
          <w:ilvl w:val="1"/>
          <w:numId w:val="1"/>
        </w:numPr>
        <w:spacing w:after="0"/>
        <w:jc w:val="both"/>
        <w:rPr>
          <w:bCs/>
          <w:sz w:val="26"/>
          <w:szCs w:val="26"/>
        </w:rPr>
      </w:pPr>
      <w:r w:rsidRPr="00015904">
        <w:rPr>
          <w:bCs/>
          <w:sz w:val="26"/>
          <w:szCs w:val="26"/>
        </w:rPr>
        <w:t xml:space="preserve">την ύπαρξη  βεβαίωσης-γνωμάτευσης του ειδικού για την πάθηση ιατρού καθώς και </w:t>
      </w:r>
    </w:p>
    <w:p w:rsidR="00015904" w:rsidRDefault="00015904" w:rsidP="00D211B8">
      <w:pPr>
        <w:numPr>
          <w:ilvl w:val="1"/>
          <w:numId w:val="1"/>
        </w:numPr>
        <w:spacing w:after="0"/>
        <w:jc w:val="both"/>
        <w:rPr>
          <w:bCs/>
          <w:sz w:val="26"/>
          <w:szCs w:val="26"/>
        </w:rPr>
      </w:pPr>
      <w:r>
        <w:rPr>
          <w:bCs/>
          <w:sz w:val="26"/>
          <w:szCs w:val="26"/>
        </w:rPr>
        <w:t xml:space="preserve">την έγκριση από ελεγκτή ιατρό. </w:t>
      </w:r>
    </w:p>
    <w:p w:rsidR="00015904" w:rsidRDefault="00015904" w:rsidP="00D211B8">
      <w:pPr>
        <w:numPr>
          <w:ilvl w:val="1"/>
          <w:numId w:val="1"/>
        </w:numPr>
        <w:spacing w:after="0"/>
        <w:jc w:val="both"/>
        <w:rPr>
          <w:bCs/>
          <w:sz w:val="26"/>
          <w:szCs w:val="26"/>
        </w:rPr>
      </w:pPr>
      <w:r>
        <w:rPr>
          <w:bCs/>
          <w:sz w:val="26"/>
          <w:szCs w:val="26"/>
        </w:rPr>
        <w:t xml:space="preserve">Τέλος, </w:t>
      </w:r>
      <w:r w:rsidRPr="00015904">
        <w:rPr>
          <w:bCs/>
          <w:sz w:val="26"/>
          <w:szCs w:val="26"/>
        </w:rPr>
        <w:t>επικολλά τις ταινίες γνησιότητας του παραδοτέου φαρμάκου στο σώμα της συνταγής.</w:t>
      </w:r>
    </w:p>
    <w:p w:rsidR="00A713A9" w:rsidRDefault="00A713A9" w:rsidP="00A713A9">
      <w:pPr>
        <w:spacing w:after="0"/>
        <w:ind w:left="1440"/>
        <w:jc w:val="both"/>
        <w:rPr>
          <w:bCs/>
          <w:sz w:val="26"/>
          <w:szCs w:val="26"/>
        </w:rPr>
      </w:pPr>
    </w:p>
    <w:p w:rsidR="00015904" w:rsidRDefault="00015904" w:rsidP="00D211B8">
      <w:pPr>
        <w:numPr>
          <w:ilvl w:val="0"/>
          <w:numId w:val="1"/>
        </w:numPr>
        <w:spacing w:after="0"/>
        <w:jc w:val="both"/>
        <w:rPr>
          <w:bCs/>
          <w:sz w:val="26"/>
          <w:szCs w:val="26"/>
        </w:rPr>
      </w:pPr>
      <w:r>
        <w:rPr>
          <w:bCs/>
          <w:sz w:val="26"/>
          <w:szCs w:val="26"/>
        </w:rPr>
        <w:t xml:space="preserve"> </w:t>
      </w:r>
      <w:r w:rsidRPr="00015904">
        <w:rPr>
          <w:bCs/>
          <w:sz w:val="26"/>
          <w:szCs w:val="26"/>
        </w:rPr>
        <w:t>Δεν αναγνωρίζεται από το ΥΠΕΘΑ δαπάνη για τ</w:t>
      </w:r>
      <w:r>
        <w:rPr>
          <w:bCs/>
          <w:sz w:val="26"/>
          <w:szCs w:val="26"/>
        </w:rPr>
        <w:t>η χορήγηση ομοιοπαθητικών φαρμά</w:t>
      </w:r>
      <w:r w:rsidRPr="00015904">
        <w:rPr>
          <w:bCs/>
          <w:sz w:val="26"/>
          <w:szCs w:val="26"/>
        </w:rPr>
        <w:t>κων.</w:t>
      </w:r>
    </w:p>
    <w:p w:rsidR="00015904" w:rsidRDefault="00015904" w:rsidP="00D211B8">
      <w:pPr>
        <w:spacing w:after="0"/>
        <w:ind w:left="720"/>
        <w:jc w:val="both"/>
        <w:rPr>
          <w:bCs/>
          <w:sz w:val="26"/>
          <w:szCs w:val="26"/>
        </w:rPr>
      </w:pPr>
    </w:p>
    <w:p w:rsidR="000F1FCC" w:rsidRDefault="00015904" w:rsidP="00D211B8">
      <w:pPr>
        <w:numPr>
          <w:ilvl w:val="0"/>
          <w:numId w:val="1"/>
        </w:numPr>
        <w:spacing w:after="0"/>
        <w:jc w:val="both"/>
        <w:rPr>
          <w:b/>
          <w:bCs/>
          <w:sz w:val="26"/>
          <w:szCs w:val="26"/>
          <w:u w:val="single"/>
        </w:rPr>
      </w:pPr>
      <w:r w:rsidRPr="00015904">
        <w:rPr>
          <w:b/>
          <w:bCs/>
          <w:sz w:val="26"/>
          <w:szCs w:val="26"/>
        </w:rPr>
        <w:t>Σε περίπτωση που ο ιατρός δεν αναγράφει επί της συνταγής ποσοστό συμμετοχής</w:t>
      </w:r>
      <w:r w:rsidRPr="00015904">
        <w:rPr>
          <w:bCs/>
          <w:sz w:val="26"/>
          <w:szCs w:val="26"/>
        </w:rPr>
        <w:t xml:space="preserve">, τότε το Φαρμακείο εισπράττει, το ανώτατο εκάστοτε ισχύον ποσοστό συμμετοχής επί της αξίας των φαρμάκων. Επειδή το ποσοστό συμμετοχής επί της συνταγής από τον </w:t>
      </w:r>
      <w:proofErr w:type="spellStart"/>
      <w:r w:rsidRPr="00015904">
        <w:rPr>
          <w:bCs/>
          <w:sz w:val="26"/>
          <w:szCs w:val="26"/>
        </w:rPr>
        <w:t>συνταγογράφο</w:t>
      </w:r>
      <w:proofErr w:type="spellEnd"/>
      <w:r w:rsidRPr="00015904">
        <w:rPr>
          <w:bCs/>
          <w:sz w:val="26"/>
          <w:szCs w:val="26"/>
        </w:rPr>
        <w:t xml:space="preserve"> ιατρό δεσμεύ</w:t>
      </w:r>
      <w:r>
        <w:rPr>
          <w:bCs/>
          <w:sz w:val="26"/>
          <w:szCs w:val="26"/>
        </w:rPr>
        <w:t>ει κατά την εκτέλεσή της, οποια</w:t>
      </w:r>
      <w:r w:rsidRPr="00015904">
        <w:rPr>
          <w:bCs/>
          <w:sz w:val="26"/>
          <w:szCs w:val="26"/>
        </w:rPr>
        <w:t xml:space="preserve">δήποτε διαφορά κατά παρέκκλιση της κείμενης Νομοθεσίας δεν βαραίνει τον Φαρμακοποιό, αλλά καταλογίζεται στον </w:t>
      </w:r>
      <w:proofErr w:type="spellStart"/>
      <w:r w:rsidRPr="00015904">
        <w:rPr>
          <w:bCs/>
          <w:sz w:val="26"/>
          <w:szCs w:val="26"/>
        </w:rPr>
        <w:t>συνταγογράφο</w:t>
      </w:r>
      <w:proofErr w:type="spellEnd"/>
      <w:r w:rsidRPr="00015904">
        <w:rPr>
          <w:bCs/>
          <w:sz w:val="26"/>
          <w:szCs w:val="26"/>
        </w:rPr>
        <w:t xml:space="preserve"> ιατρό.</w:t>
      </w:r>
      <w:r w:rsidR="000F1FCC">
        <w:rPr>
          <w:bCs/>
          <w:sz w:val="26"/>
          <w:szCs w:val="26"/>
        </w:rPr>
        <w:t xml:space="preserve"> </w:t>
      </w:r>
      <w:r w:rsidR="000F1FCC" w:rsidRPr="000F1FCC">
        <w:rPr>
          <w:b/>
          <w:bCs/>
          <w:sz w:val="26"/>
          <w:szCs w:val="26"/>
          <w:u w:val="single"/>
        </w:rPr>
        <w:t xml:space="preserve">Συνταγές θεωρημένες από ελεγκτή ιατρό είναι έγκυρες δεν περικόπτονται  και εκτελούνται υποχρεωτικά από τον φαρμακοποιό βάσει  </w:t>
      </w:r>
      <w:proofErr w:type="spellStart"/>
      <w:r w:rsidR="000F1FCC" w:rsidRPr="000F1FCC">
        <w:rPr>
          <w:b/>
          <w:bCs/>
          <w:sz w:val="26"/>
          <w:szCs w:val="26"/>
          <w:u w:val="single"/>
        </w:rPr>
        <w:t>Π.δ</w:t>
      </w:r>
      <w:proofErr w:type="spellEnd"/>
      <w:r w:rsidR="000F1FCC" w:rsidRPr="000F1FCC">
        <w:rPr>
          <w:b/>
          <w:bCs/>
          <w:sz w:val="26"/>
          <w:szCs w:val="26"/>
          <w:u w:val="single"/>
        </w:rPr>
        <w:t>. 121/08 (άρθρο 3 παρ. 2 ).</w:t>
      </w:r>
    </w:p>
    <w:p w:rsidR="00015904" w:rsidRPr="0006101C" w:rsidRDefault="00015904" w:rsidP="0006101C">
      <w:pPr>
        <w:spacing w:after="0"/>
        <w:ind w:left="720"/>
        <w:jc w:val="both"/>
        <w:rPr>
          <w:bCs/>
          <w:sz w:val="26"/>
          <w:szCs w:val="26"/>
        </w:rPr>
      </w:pPr>
    </w:p>
    <w:p w:rsidR="00A95A1C" w:rsidRPr="00F125E8" w:rsidRDefault="00A95A1C" w:rsidP="00A95A1C">
      <w:pPr>
        <w:jc w:val="both"/>
        <w:rPr>
          <w:sz w:val="26"/>
          <w:szCs w:val="26"/>
        </w:rPr>
      </w:pPr>
      <w:r w:rsidRPr="00F125E8">
        <w:rPr>
          <w:sz w:val="26"/>
          <w:szCs w:val="26"/>
        </w:rPr>
        <w:t>Προσέχουμε για να μην έχουμε περικοπές:</w:t>
      </w:r>
    </w:p>
    <w:p w:rsidR="00A95A1C" w:rsidRPr="00F125E8" w:rsidRDefault="00A95A1C" w:rsidP="00A95A1C">
      <w:pPr>
        <w:numPr>
          <w:ilvl w:val="0"/>
          <w:numId w:val="21"/>
        </w:numPr>
        <w:jc w:val="both"/>
        <w:rPr>
          <w:sz w:val="26"/>
          <w:szCs w:val="26"/>
        </w:rPr>
      </w:pPr>
      <w:r w:rsidRPr="00F125E8">
        <w:rPr>
          <w:sz w:val="26"/>
          <w:szCs w:val="26"/>
        </w:rPr>
        <w:t xml:space="preserve">Ακόμα και στα 2 </w:t>
      </w:r>
      <w:proofErr w:type="spellStart"/>
      <w:r w:rsidRPr="00F125E8">
        <w:rPr>
          <w:sz w:val="26"/>
          <w:szCs w:val="26"/>
        </w:rPr>
        <w:t>εμβαλάγια</w:t>
      </w:r>
      <w:proofErr w:type="spellEnd"/>
      <w:r w:rsidRPr="00F125E8">
        <w:rPr>
          <w:sz w:val="26"/>
          <w:szCs w:val="26"/>
        </w:rPr>
        <w:t>, εξαιρουμένων αυτών με 14 χάπια, πρέπει να γράφεται σαφής δοσολογία που να δικαιολογεί την ποσότητα.</w:t>
      </w:r>
    </w:p>
    <w:p w:rsidR="00A95A1C" w:rsidRPr="00F125E8" w:rsidRDefault="00A95A1C" w:rsidP="00A95A1C">
      <w:pPr>
        <w:numPr>
          <w:ilvl w:val="0"/>
          <w:numId w:val="21"/>
        </w:numPr>
        <w:jc w:val="both"/>
        <w:rPr>
          <w:sz w:val="26"/>
          <w:szCs w:val="26"/>
        </w:rPr>
      </w:pPr>
      <w:r w:rsidRPr="00F125E8">
        <w:rPr>
          <w:sz w:val="26"/>
          <w:szCs w:val="26"/>
        </w:rPr>
        <w:t xml:space="preserve">Εκτός από την εμπορική ονομασία θα πρέπει να αναγράφεται </w:t>
      </w:r>
      <w:r w:rsidRPr="00F125E8">
        <w:rPr>
          <w:b/>
          <w:sz w:val="26"/>
          <w:szCs w:val="26"/>
          <w:u w:val="single"/>
        </w:rPr>
        <w:t>και</w:t>
      </w:r>
      <w:r w:rsidRPr="00F125E8">
        <w:rPr>
          <w:sz w:val="26"/>
          <w:szCs w:val="26"/>
        </w:rPr>
        <w:t xml:space="preserve"> η χημική ονομασία του φαρμάκου</w:t>
      </w:r>
    </w:p>
    <w:p w:rsidR="00A95A1C" w:rsidRPr="00F125E8" w:rsidRDefault="00A95A1C" w:rsidP="00A95A1C">
      <w:pPr>
        <w:numPr>
          <w:ilvl w:val="0"/>
          <w:numId w:val="21"/>
        </w:numPr>
        <w:jc w:val="both"/>
        <w:rPr>
          <w:sz w:val="26"/>
          <w:szCs w:val="26"/>
        </w:rPr>
      </w:pPr>
      <w:r w:rsidRPr="00F125E8">
        <w:rPr>
          <w:sz w:val="26"/>
          <w:szCs w:val="26"/>
        </w:rPr>
        <w:t xml:space="preserve">Οι ειδικευόμενοι, ακόμα και ιατροί μονάδος, δικαιούνται να γράφουν </w:t>
      </w:r>
      <w:r w:rsidRPr="00F125E8">
        <w:rPr>
          <w:b/>
          <w:sz w:val="26"/>
          <w:szCs w:val="26"/>
          <w:u w:val="single"/>
        </w:rPr>
        <w:t xml:space="preserve">μόνο ένα </w:t>
      </w:r>
      <w:proofErr w:type="spellStart"/>
      <w:r w:rsidRPr="00F125E8">
        <w:rPr>
          <w:b/>
          <w:sz w:val="26"/>
          <w:szCs w:val="26"/>
          <w:u w:val="single"/>
        </w:rPr>
        <w:t>εμβαλάγιο</w:t>
      </w:r>
      <w:proofErr w:type="spellEnd"/>
      <w:r w:rsidRPr="00F125E8">
        <w:rPr>
          <w:sz w:val="26"/>
          <w:szCs w:val="26"/>
        </w:rPr>
        <w:t xml:space="preserve">. Για παραπάνω από ένα απαιτείται γνωμάτευση ιατρού ειδικότητας και επισύναψη της γνωμάτευσης η οποία θα είναι ετήσια και θα προσκομίζονται οι φωτοτυπίες. </w:t>
      </w:r>
    </w:p>
    <w:p w:rsidR="00A95A1C" w:rsidRPr="00F125E8" w:rsidRDefault="00A95A1C" w:rsidP="00A95A1C">
      <w:pPr>
        <w:numPr>
          <w:ilvl w:val="0"/>
          <w:numId w:val="21"/>
        </w:numPr>
        <w:jc w:val="both"/>
        <w:rPr>
          <w:sz w:val="26"/>
          <w:szCs w:val="26"/>
        </w:rPr>
      </w:pPr>
      <w:r w:rsidRPr="00F125E8">
        <w:rPr>
          <w:sz w:val="26"/>
          <w:szCs w:val="26"/>
        </w:rPr>
        <w:t>Το ίδιο ισχύει και για ιατρούς ειδικότητας όταν γράφουν για χρόνια νοσήματα. Πάλι πρέπει να επισυνάπτεται η γνωμάτευση.</w:t>
      </w:r>
    </w:p>
    <w:p w:rsidR="00A95A1C" w:rsidRPr="00F125E8" w:rsidRDefault="00A95A1C" w:rsidP="00A95A1C">
      <w:pPr>
        <w:numPr>
          <w:ilvl w:val="0"/>
          <w:numId w:val="21"/>
        </w:numPr>
        <w:jc w:val="both"/>
        <w:rPr>
          <w:sz w:val="26"/>
          <w:szCs w:val="26"/>
        </w:rPr>
      </w:pPr>
      <w:r w:rsidRPr="00F125E8">
        <w:rPr>
          <w:sz w:val="26"/>
          <w:szCs w:val="26"/>
        </w:rPr>
        <w:t>Αριθμός μητρώου σωστά συμπληρωμένος ( /91 για σύζυγο, / 01 κλπ για παιδιά) και ΑΜΚΑ πρέπει να αναγράφονται απαραιτήτως επί της συνταγής.</w:t>
      </w:r>
    </w:p>
    <w:p w:rsidR="0006101C" w:rsidRPr="00886E9C" w:rsidRDefault="0006101C" w:rsidP="0006101C">
      <w:pPr>
        <w:spacing w:before="15" w:after="15" w:line="240" w:lineRule="auto"/>
        <w:jc w:val="center"/>
        <w:rPr>
          <w:rFonts w:eastAsia="Times New Roman" w:cs="Times New Roman"/>
          <w:b/>
          <w:bCs/>
          <w:color w:val="000000"/>
          <w:sz w:val="26"/>
          <w:szCs w:val="26"/>
          <w:u w:val="single"/>
          <w:shd w:val="clear" w:color="auto" w:fill="FFFFFF"/>
          <w:lang w:eastAsia="el-GR"/>
        </w:rPr>
      </w:pPr>
    </w:p>
    <w:p w:rsidR="0006101C" w:rsidRPr="00BC5B40" w:rsidRDefault="0006101C" w:rsidP="00BC5B40">
      <w:pPr>
        <w:pStyle w:val="a4"/>
        <w:rPr>
          <w:rFonts w:eastAsia="Times New Roman"/>
          <w:sz w:val="44"/>
          <w:shd w:val="clear" w:color="auto" w:fill="FFFFFF"/>
          <w:lang w:eastAsia="el-GR"/>
        </w:rPr>
      </w:pPr>
      <w:r w:rsidRPr="00BC5B40">
        <w:rPr>
          <w:rFonts w:eastAsia="Times New Roman"/>
          <w:sz w:val="44"/>
          <w:shd w:val="clear" w:color="auto" w:fill="FFFFFF"/>
          <w:lang w:eastAsia="el-GR"/>
        </w:rPr>
        <w:t>Δικαιολογητικ</w:t>
      </w:r>
      <w:r w:rsidR="00A95A1C">
        <w:rPr>
          <w:rFonts w:eastAsia="Times New Roman"/>
          <w:sz w:val="44"/>
          <w:shd w:val="clear" w:color="auto" w:fill="FFFFFF"/>
          <w:lang w:eastAsia="el-GR"/>
        </w:rPr>
        <w:t>ά υποβολής συνταγών Φαρμάκων ΓΕΑ</w:t>
      </w:r>
      <w:r w:rsidRPr="00BC5B40">
        <w:rPr>
          <w:rFonts w:eastAsia="Times New Roman"/>
          <w:sz w:val="44"/>
          <w:shd w:val="clear" w:color="auto" w:fill="FFFFFF"/>
          <w:lang w:eastAsia="el-GR"/>
        </w:rPr>
        <w:t xml:space="preserve"> </w:t>
      </w:r>
    </w:p>
    <w:p w:rsidR="0006101C" w:rsidRPr="00A713A9" w:rsidRDefault="0006101C" w:rsidP="0006101C">
      <w:pPr>
        <w:pStyle w:val="a3"/>
        <w:numPr>
          <w:ilvl w:val="0"/>
          <w:numId w:val="15"/>
        </w:numPr>
        <w:spacing w:after="300" w:line="240" w:lineRule="auto"/>
        <w:rPr>
          <w:rFonts w:eastAsia="Times New Roman" w:cs="Arial"/>
          <w:sz w:val="26"/>
          <w:szCs w:val="26"/>
          <w:lang w:eastAsia="el-GR"/>
        </w:rPr>
      </w:pPr>
      <w:r w:rsidRPr="00A713A9">
        <w:rPr>
          <w:rFonts w:eastAsia="Times New Roman" w:cs="Arial"/>
          <w:sz w:val="26"/>
          <w:szCs w:val="26"/>
          <w:lang w:eastAsia="el-GR"/>
        </w:rPr>
        <w:t>Κατατίθεται στον φαρμακευτικό σύλλογο, σε ξεχωριστό φάκελο μαζί με τα άλλα ασφαλιστικά ταμεία.</w:t>
      </w:r>
    </w:p>
    <w:p w:rsidR="0006101C" w:rsidRPr="00A713A9" w:rsidRDefault="0006101C" w:rsidP="0006101C">
      <w:pPr>
        <w:numPr>
          <w:ilvl w:val="0"/>
          <w:numId w:val="15"/>
        </w:numPr>
        <w:jc w:val="both"/>
        <w:rPr>
          <w:bCs/>
          <w:sz w:val="26"/>
          <w:szCs w:val="26"/>
        </w:rPr>
      </w:pPr>
      <w:r w:rsidRPr="00A713A9">
        <w:rPr>
          <w:bCs/>
          <w:sz w:val="26"/>
          <w:szCs w:val="26"/>
        </w:rPr>
        <w:t>Μέχρι τέλους του τρέχοντος μήνα αποστέλλεται ο λογαριασμός του προηγούμενου μήνα. Οι συνταγές να είναι αριθμημένες και τοποθετημένες κατά χρονολογική σειρά εκτέλεσης.</w:t>
      </w:r>
    </w:p>
    <w:p w:rsidR="0006101C" w:rsidRPr="00A713A9" w:rsidRDefault="0006101C" w:rsidP="0006101C">
      <w:pPr>
        <w:numPr>
          <w:ilvl w:val="0"/>
          <w:numId w:val="15"/>
        </w:numPr>
        <w:jc w:val="both"/>
        <w:rPr>
          <w:bCs/>
          <w:sz w:val="26"/>
          <w:szCs w:val="26"/>
        </w:rPr>
      </w:pPr>
      <w:r w:rsidRPr="00A713A9">
        <w:rPr>
          <w:bCs/>
          <w:sz w:val="26"/>
          <w:szCs w:val="26"/>
        </w:rPr>
        <w:t>Αν ο λογαριασμός είναι μέχρι </w:t>
      </w:r>
      <w:r w:rsidRPr="00A713A9">
        <w:rPr>
          <w:bCs/>
          <w:sz w:val="26"/>
          <w:szCs w:val="26"/>
          <w:u w:val="single"/>
        </w:rPr>
        <w:t>1500€</w:t>
      </w:r>
      <w:r w:rsidRPr="00A713A9">
        <w:rPr>
          <w:bCs/>
          <w:sz w:val="26"/>
          <w:szCs w:val="26"/>
        </w:rPr>
        <w:t> θα μπορεί να καλύπτει περίοδο μεγαλύτερη από ένα(1) μήνα, αλλά οπωσδήποτε μικρότερη των έξι(6) μηνών. Σ’ αυτή την περίπτωση θα υποβάλλονται καταστάσεις ανά μήνα.</w:t>
      </w:r>
    </w:p>
    <w:p w:rsidR="0006101C" w:rsidRDefault="0006101C" w:rsidP="0006101C">
      <w:pPr>
        <w:numPr>
          <w:ilvl w:val="0"/>
          <w:numId w:val="15"/>
        </w:numPr>
        <w:jc w:val="both"/>
        <w:rPr>
          <w:bCs/>
          <w:sz w:val="26"/>
          <w:szCs w:val="26"/>
        </w:rPr>
      </w:pPr>
      <w:r w:rsidRPr="00A713A9">
        <w:rPr>
          <w:bCs/>
          <w:sz w:val="26"/>
          <w:szCs w:val="26"/>
        </w:rPr>
        <w:t xml:space="preserve">Η υποβολή του λογαριασμού θα αφορά συγκεκριμένη χρονική περίοδο και δεν θα επιτρέπεται η εκ νέου υποβολή εντολών της ίδιας περιόδου. Εξαιρείται η περίπτωση επιστραφέντων εντολών που </w:t>
      </w:r>
      <w:proofErr w:type="spellStart"/>
      <w:r w:rsidRPr="00A713A9">
        <w:rPr>
          <w:bCs/>
          <w:sz w:val="26"/>
          <w:szCs w:val="26"/>
        </w:rPr>
        <w:t>επαναϋποβάλλονται</w:t>
      </w:r>
      <w:proofErr w:type="spellEnd"/>
      <w:r w:rsidRPr="00A713A9">
        <w:rPr>
          <w:bCs/>
          <w:sz w:val="26"/>
          <w:szCs w:val="26"/>
        </w:rPr>
        <w:t xml:space="preserve"> για επανέλεγχο.</w:t>
      </w:r>
    </w:p>
    <w:p w:rsidR="0006101C" w:rsidRPr="0006101C" w:rsidRDefault="0006101C" w:rsidP="0006101C">
      <w:pPr>
        <w:ind w:left="720"/>
        <w:jc w:val="both"/>
        <w:rPr>
          <w:bCs/>
          <w:sz w:val="26"/>
          <w:szCs w:val="26"/>
        </w:rPr>
      </w:pPr>
    </w:p>
    <w:p w:rsidR="0006101C" w:rsidRPr="0006101C" w:rsidRDefault="0006101C" w:rsidP="00BC5B40">
      <w:pPr>
        <w:pStyle w:val="1"/>
        <w:numPr>
          <w:ilvl w:val="0"/>
          <w:numId w:val="16"/>
        </w:numPr>
        <w:spacing w:before="0"/>
        <w:ind w:left="1800"/>
        <w:rPr>
          <w:rFonts w:eastAsia="Times New Roman"/>
          <w:lang w:eastAsia="el-GR"/>
        </w:rPr>
      </w:pPr>
      <w:r w:rsidRPr="0006101C">
        <w:rPr>
          <w:rFonts w:eastAsia="Times New Roman"/>
          <w:lang w:eastAsia="el-GR"/>
        </w:rPr>
        <w:t xml:space="preserve">Αίτηση Φαρμακείου </w:t>
      </w:r>
      <w:r w:rsidRPr="0006101C">
        <w:rPr>
          <w:rFonts w:eastAsia="Times New Roman"/>
          <w:highlight w:val="yellow"/>
          <w:lang w:eastAsia="el-GR"/>
        </w:rPr>
        <w:t>(βλ. επισυναπτόμενο έγγραφο)</w:t>
      </w:r>
      <w:r w:rsidRPr="0006101C">
        <w:rPr>
          <w:rFonts w:eastAsia="Times New Roman"/>
          <w:lang w:eastAsia="el-GR"/>
        </w:rPr>
        <w:t xml:space="preserve"> </w:t>
      </w:r>
    </w:p>
    <w:p w:rsidR="0006101C" w:rsidRPr="0006101C" w:rsidRDefault="0006101C" w:rsidP="00BC5B40">
      <w:pPr>
        <w:pStyle w:val="1"/>
        <w:spacing w:before="0"/>
        <w:ind w:left="1080"/>
        <w:rPr>
          <w:rFonts w:eastAsia="Times New Roman"/>
          <w:lang w:eastAsia="el-GR"/>
        </w:rPr>
      </w:pPr>
    </w:p>
    <w:p w:rsidR="0006101C" w:rsidRPr="0006101C" w:rsidRDefault="0006101C" w:rsidP="00BC5B40">
      <w:pPr>
        <w:pStyle w:val="1"/>
        <w:numPr>
          <w:ilvl w:val="0"/>
          <w:numId w:val="16"/>
        </w:numPr>
        <w:spacing w:before="0"/>
        <w:ind w:left="1800"/>
        <w:rPr>
          <w:rFonts w:eastAsia="Times New Roman"/>
          <w:lang w:eastAsia="el-GR"/>
        </w:rPr>
      </w:pPr>
      <w:r w:rsidRPr="0006101C">
        <w:rPr>
          <w:rFonts w:eastAsia="Times New Roman"/>
          <w:lang w:eastAsia="el-GR"/>
        </w:rPr>
        <w:t>Σ</w:t>
      </w:r>
      <w:r w:rsidRPr="00886E9C">
        <w:rPr>
          <w:rFonts w:asciiTheme="minorHAnsi" w:eastAsia="Times New Roman" w:hAnsiTheme="minorHAnsi"/>
          <w:lang w:eastAsia="el-GR"/>
        </w:rPr>
        <w:t>υγκεντρωτική</w:t>
      </w:r>
      <w:r w:rsidRPr="0006101C">
        <w:rPr>
          <w:rFonts w:eastAsia="Times New Roman" w:cs="Times New Roman"/>
          <w:lang w:eastAsia="el-GR"/>
        </w:rPr>
        <w:t xml:space="preserve"> κατάσταση δαπάνης συνταγών (</w:t>
      </w:r>
      <w:r w:rsidRPr="00886E9C">
        <w:rPr>
          <w:rFonts w:asciiTheme="minorHAnsi" w:eastAsia="Times New Roman" w:hAnsiTheme="minorHAnsi"/>
          <w:lang w:eastAsia="el-GR"/>
        </w:rPr>
        <w:t xml:space="preserve">είτε από το </w:t>
      </w:r>
      <w:proofErr w:type="spellStart"/>
      <w:r w:rsidRPr="00886E9C">
        <w:rPr>
          <w:rFonts w:asciiTheme="minorHAnsi" w:eastAsia="Times New Roman" w:hAnsiTheme="minorHAnsi"/>
          <w:lang w:eastAsia="el-GR"/>
        </w:rPr>
        <w:t>farmakon</w:t>
      </w:r>
      <w:proofErr w:type="spellEnd"/>
      <w:r w:rsidRPr="00886E9C">
        <w:rPr>
          <w:rFonts w:asciiTheme="minorHAnsi" w:eastAsia="Times New Roman" w:hAnsiTheme="minorHAnsi"/>
          <w:lang w:eastAsia="el-GR"/>
        </w:rPr>
        <w:t>, είτε </w:t>
      </w:r>
      <w:hyperlink r:id="rId7" w:tgtFrame="_blank" w:history="1">
        <w:r w:rsidRPr="00886E9C">
          <w:rPr>
            <w:rFonts w:asciiTheme="minorHAnsi" w:eastAsia="Times New Roman" w:hAnsiTheme="minorHAnsi"/>
            <w:lang w:eastAsia="el-GR"/>
          </w:rPr>
          <w:t>χειρόγραφη</w:t>
        </w:r>
      </w:hyperlink>
      <w:r w:rsidRPr="0006101C">
        <w:rPr>
          <w:rFonts w:eastAsia="Times New Roman"/>
          <w:lang w:eastAsia="el-GR"/>
        </w:rPr>
        <w:t xml:space="preserve">) </w:t>
      </w:r>
      <w:r w:rsidRPr="0006101C">
        <w:rPr>
          <w:rFonts w:eastAsia="Times New Roman" w:cs="Times New Roman"/>
          <w:lang w:eastAsia="el-GR"/>
        </w:rPr>
        <w:t xml:space="preserve">σε </w:t>
      </w:r>
      <w:r w:rsidRPr="0006101C">
        <w:rPr>
          <w:rFonts w:eastAsia="Times New Roman" w:cs="Times New Roman"/>
          <w:u w:val="single"/>
          <w:lang w:eastAsia="el-GR"/>
        </w:rPr>
        <w:t>τρία αντίτυπα</w:t>
      </w:r>
      <w:r w:rsidRPr="0006101C">
        <w:rPr>
          <w:rFonts w:eastAsia="Times New Roman" w:cs="Times New Roman"/>
          <w:lang w:eastAsia="el-GR"/>
        </w:rPr>
        <w:t xml:space="preserve"> (με σφραγίδα &amp; υπογραφή).</w:t>
      </w:r>
    </w:p>
    <w:p w:rsidR="0006101C" w:rsidRPr="0006101C" w:rsidRDefault="0006101C" w:rsidP="00BC5B40">
      <w:pPr>
        <w:pStyle w:val="1"/>
        <w:spacing w:before="0"/>
        <w:ind w:left="1080"/>
        <w:rPr>
          <w:rFonts w:eastAsia="Times New Roman"/>
          <w:lang w:eastAsia="el-GR"/>
        </w:rPr>
      </w:pPr>
    </w:p>
    <w:p w:rsidR="0006101C" w:rsidRPr="0006101C" w:rsidRDefault="0006101C" w:rsidP="00BC5B40">
      <w:pPr>
        <w:pStyle w:val="1"/>
        <w:numPr>
          <w:ilvl w:val="0"/>
          <w:numId w:val="16"/>
        </w:numPr>
        <w:spacing w:before="0"/>
        <w:ind w:left="1800"/>
        <w:rPr>
          <w:rFonts w:eastAsia="Times New Roman"/>
          <w:lang w:eastAsia="el-GR"/>
        </w:rPr>
      </w:pPr>
      <w:r w:rsidRPr="0006101C">
        <w:rPr>
          <w:rFonts w:eastAsia="Times New Roman" w:cs="Times New Roman"/>
          <w:lang w:eastAsia="el-GR"/>
        </w:rPr>
        <w:t>Τιμολόγιο (θα φέρει την ένδειξη «ΕΞΟΦΛΗΘΗ» σε χειρόγραφο τιμολόγιο ή εξοφλητική απόδειξη για όσους εκδίδουν ηλεκτρονικό τιμολόγιο)</w:t>
      </w:r>
    </w:p>
    <w:p w:rsidR="0006101C" w:rsidRPr="0006101C" w:rsidRDefault="0006101C" w:rsidP="00BC5B40">
      <w:pPr>
        <w:pStyle w:val="1"/>
        <w:spacing w:before="0"/>
        <w:ind w:left="1080"/>
        <w:rPr>
          <w:rFonts w:eastAsia="Times New Roman"/>
          <w:lang w:eastAsia="el-GR"/>
        </w:rPr>
      </w:pPr>
    </w:p>
    <w:p w:rsidR="0006101C" w:rsidRPr="0006101C" w:rsidRDefault="0006101C" w:rsidP="00BC5B40">
      <w:pPr>
        <w:pStyle w:val="1"/>
        <w:numPr>
          <w:ilvl w:val="0"/>
          <w:numId w:val="16"/>
        </w:numPr>
        <w:spacing w:before="0"/>
        <w:ind w:left="1800"/>
        <w:rPr>
          <w:rFonts w:eastAsia="Times New Roman"/>
          <w:lang w:eastAsia="el-GR"/>
        </w:rPr>
      </w:pPr>
      <w:r w:rsidRPr="0006101C">
        <w:rPr>
          <w:rFonts w:eastAsia="Times New Roman"/>
          <w:lang w:eastAsia="el-GR"/>
        </w:rPr>
        <w:t>Φορολογική Ενημερότητα (για ποσά άνω των 1.496€)</w:t>
      </w:r>
    </w:p>
    <w:p w:rsidR="00DD3633" w:rsidRPr="00304191" w:rsidRDefault="00DD3633" w:rsidP="00304191">
      <w:pPr>
        <w:rPr>
          <w:sz w:val="26"/>
          <w:szCs w:val="26"/>
        </w:rPr>
      </w:pPr>
    </w:p>
    <w:p w:rsidR="00304191" w:rsidRPr="00304191" w:rsidRDefault="00304191" w:rsidP="00304191">
      <w:pPr>
        <w:rPr>
          <w:sz w:val="26"/>
          <w:szCs w:val="26"/>
        </w:rPr>
      </w:pPr>
      <w:r w:rsidRPr="00304191">
        <w:rPr>
          <w:b/>
          <w:bCs/>
          <w:sz w:val="26"/>
          <w:szCs w:val="26"/>
        </w:rPr>
        <w:t>Β. ΑΝΑΛΩΣΙΜΑ ΦΑΡΜΑΚΕΙΟΥ</w:t>
      </w:r>
    </w:p>
    <w:p w:rsidR="00BE4DF0" w:rsidRPr="007774E8" w:rsidRDefault="00BE4DF0" w:rsidP="00304191">
      <w:pPr>
        <w:numPr>
          <w:ilvl w:val="0"/>
          <w:numId w:val="2"/>
        </w:numPr>
        <w:rPr>
          <w:bCs/>
          <w:sz w:val="26"/>
          <w:szCs w:val="26"/>
        </w:rPr>
      </w:pPr>
      <w:r>
        <w:rPr>
          <w:bCs/>
          <w:sz w:val="26"/>
          <w:szCs w:val="26"/>
        </w:rPr>
        <w:t xml:space="preserve">Ακολουθείται ο </w:t>
      </w:r>
      <w:r w:rsidRPr="007774E8">
        <w:rPr>
          <w:bCs/>
          <w:sz w:val="26"/>
          <w:szCs w:val="26"/>
        </w:rPr>
        <w:t xml:space="preserve">εκάστοτε ΕΚΠΥ του ΕΟΠΥΥ για τα αναλώσιμα, όσον αφορά ποσότητες, συμμετοχές και όσα δικαιούνται. </w:t>
      </w:r>
    </w:p>
    <w:p w:rsidR="009A4764" w:rsidRPr="009A4764" w:rsidRDefault="00E47EF0" w:rsidP="009A4764">
      <w:pPr>
        <w:pStyle w:val="a3"/>
        <w:numPr>
          <w:ilvl w:val="0"/>
          <w:numId w:val="2"/>
        </w:numPr>
        <w:rPr>
          <w:b/>
          <w:bCs/>
          <w:sz w:val="26"/>
          <w:szCs w:val="26"/>
        </w:rPr>
      </w:pPr>
      <w:r w:rsidRPr="009A4764">
        <w:rPr>
          <w:bCs/>
          <w:sz w:val="26"/>
          <w:szCs w:val="26"/>
        </w:rPr>
        <w:t xml:space="preserve">Οι συνταγές πασχόντων από Σ.Δ </w:t>
      </w:r>
      <w:r w:rsidRPr="009A4764">
        <w:rPr>
          <w:b/>
          <w:bCs/>
          <w:sz w:val="26"/>
          <w:szCs w:val="26"/>
        </w:rPr>
        <w:t xml:space="preserve">συνταγογραφούνται από ιατρό αντιστοίχου με τη πάθηση ειδικότητας, ο οποίος </w:t>
      </w:r>
      <w:r w:rsidRPr="009A4764">
        <w:rPr>
          <w:b/>
          <w:bCs/>
          <w:sz w:val="26"/>
          <w:szCs w:val="26"/>
          <w:u w:val="single"/>
        </w:rPr>
        <w:t xml:space="preserve">θα προσδιορίζει επί της εντολής </w:t>
      </w:r>
      <w:r w:rsidR="009A4764">
        <w:rPr>
          <w:b/>
          <w:bCs/>
          <w:sz w:val="26"/>
          <w:szCs w:val="26"/>
          <w:u w:val="single"/>
        </w:rPr>
        <w:t xml:space="preserve">: </w:t>
      </w:r>
    </w:p>
    <w:p w:rsidR="009A4764" w:rsidRDefault="009A4764" w:rsidP="009A4764">
      <w:pPr>
        <w:pStyle w:val="a3"/>
        <w:rPr>
          <w:b/>
          <w:bCs/>
          <w:sz w:val="26"/>
          <w:szCs w:val="26"/>
        </w:rPr>
      </w:pPr>
    </w:p>
    <w:p w:rsidR="009A4764" w:rsidRPr="009A4764" w:rsidRDefault="00E47EF0" w:rsidP="009A4764">
      <w:pPr>
        <w:pStyle w:val="a3"/>
        <w:numPr>
          <w:ilvl w:val="3"/>
          <w:numId w:val="2"/>
        </w:numPr>
        <w:ind w:left="1276" w:hanging="425"/>
        <w:rPr>
          <w:bCs/>
          <w:sz w:val="26"/>
          <w:szCs w:val="26"/>
        </w:rPr>
      </w:pPr>
      <w:r w:rsidRPr="009A4764">
        <w:rPr>
          <w:bCs/>
          <w:sz w:val="26"/>
          <w:szCs w:val="26"/>
        </w:rPr>
        <w:t>την πάθηση και τον τύπο αυτής.</w:t>
      </w:r>
    </w:p>
    <w:p w:rsidR="009A4764" w:rsidRPr="009A4764" w:rsidRDefault="009A4764" w:rsidP="009A4764">
      <w:pPr>
        <w:pStyle w:val="a3"/>
        <w:numPr>
          <w:ilvl w:val="3"/>
          <w:numId w:val="2"/>
        </w:numPr>
        <w:ind w:left="1276" w:hanging="425"/>
        <w:rPr>
          <w:bCs/>
          <w:sz w:val="26"/>
          <w:szCs w:val="26"/>
        </w:rPr>
      </w:pPr>
      <w:r w:rsidRPr="009A4764">
        <w:rPr>
          <w:bCs/>
          <w:sz w:val="26"/>
          <w:szCs w:val="26"/>
        </w:rPr>
        <w:t xml:space="preserve">το χρονικό διάστημα χορήγησης του υλικού </w:t>
      </w:r>
    </w:p>
    <w:p w:rsidR="00E47EF0" w:rsidRDefault="009A4764" w:rsidP="009A4764">
      <w:pPr>
        <w:pStyle w:val="a3"/>
        <w:numPr>
          <w:ilvl w:val="3"/>
          <w:numId w:val="2"/>
        </w:numPr>
        <w:ind w:left="1276" w:hanging="425"/>
        <w:rPr>
          <w:b/>
          <w:bCs/>
          <w:sz w:val="26"/>
          <w:szCs w:val="26"/>
        </w:rPr>
      </w:pPr>
      <w:r>
        <w:rPr>
          <w:bCs/>
          <w:sz w:val="26"/>
          <w:szCs w:val="26"/>
        </w:rPr>
        <w:t>τ</w:t>
      </w:r>
      <w:r w:rsidRPr="009A4764">
        <w:rPr>
          <w:bCs/>
          <w:sz w:val="26"/>
          <w:szCs w:val="26"/>
        </w:rPr>
        <w:t>ην απαραίτητη ποσότητα ανά μήνα</w:t>
      </w:r>
      <w:r w:rsidRPr="009A4764">
        <w:rPr>
          <w:b/>
          <w:bCs/>
          <w:sz w:val="26"/>
          <w:szCs w:val="26"/>
        </w:rPr>
        <w:t>.</w:t>
      </w:r>
    </w:p>
    <w:p w:rsidR="009A4764" w:rsidRPr="009A4764" w:rsidRDefault="009A4764" w:rsidP="009A4764">
      <w:pPr>
        <w:pStyle w:val="a3"/>
        <w:ind w:left="1276"/>
        <w:rPr>
          <w:b/>
          <w:bCs/>
          <w:sz w:val="26"/>
          <w:szCs w:val="26"/>
        </w:rPr>
      </w:pPr>
    </w:p>
    <w:p w:rsidR="00E47EF0" w:rsidRPr="007774E8" w:rsidRDefault="00E47EF0" w:rsidP="007774E8">
      <w:pPr>
        <w:ind w:left="720"/>
        <w:rPr>
          <w:b/>
          <w:bCs/>
          <w:sz w:val="26"/>
          <w:szCs w:val="26"/>
        </w:rPr>
      </w:pPr>
      <w:r w:rsidRPr="007774E8">
        <w:rPr>
          <w:bCs/>
          <w:sz w:val="26"/>
          <w:szCs w:val="26"/>
        </w:rPr>
        <w:t xml:space="preserve">Στους </w:t>
      </w:r>
      <w:r w:rsidRPr="007774E8">
        <w:rPr>
          <w:b/>
          <w:bCs/>
          <w:sz w:val="26"/>
          <w:szCs w:val="26"/>
        </w:rPr>
        <w:t xml:space="preserve">εν ενεργεία στρατιωτικούς </w:t>
      </w:r>
      <w:r w:rsidRPr="007774E8">
        <w:rPr>
          <w:bCs/>
          <w:sz w:val="26"/>
          <w:szCs w:val="26"/>
        </w:rPr>
        <w:t xml:space="preserve">μπορούν να </w:t>
      </w:r>
      <w:proofErr w:type="spellStart"/>
      <w:r w:rsidRPr="007774E8">
        <w:rPr>
          <w:bCs/>
          <w:sz w:val="26"/>
          <w:szCs w:val="26"/>
        </w:rPr>
        <w:t>συνταγογραφήσουν</w:t>
      </w:r>
      <w:proofErr w:type="spellEnd"/>
      <w:r w:rsidRPr="007774E8">
        <w:rPr>
          <w:b/>
          <w:bCs/>
          <w:sz w:val="26"/>
          <w:szCs w:val="26"/>
        </w:rPr>
        <w:t xml:space="preserve"> : </w:t>
      </w:r>
    </w:p>
    <w:p w:rsidR="00E47EF0" w:rsidRPr="007774E8" w:rsidRDefault="00E47EF0" w:rsidP="00E47EF0">
      <w:pPr>
        <w:pStyle w:val="a3"/>
        <w:numPr>
          <w:ilvl w:val="0"/>
          <w:numId w:val="17"/>
        </w:numPr>
        <w:rPr>
          <w:b/>
          <w:bCs/>
          <w:sz w:val="26"/>
          <w:szCs w:val="26"/>
        </w:rPr>
      </w:pPr>
      <w:r w:rsidRPr="007774E8">
        <w:rPr>
          <w:b/>
          <w:bCs/>
          <w:sz w:val="26"/>
          <w:szCs w:val="26"/>
        </w:rPr>
        <w:t xml:space="preserve">Ιατροί μονάδων </w:t>
      </w:r>
    </w:p>
    <w:p w:rsidR="00E47EF0" w:rsidRPr="007774E8" w:rsidRDefault="00E47EF0" w:rsidP="00E47EF0">
      <w:pPr>
        <w:pStyle w:val="a3"/>
        <w:numPr>
          <w:ilvl w:val="0"/>
          <w:numId w:val="17"/>
        </w:numPr>
        <w:rPr>
          <w:b/>
          <w:bCs/>
          <w:sz w:val="26"/>
          <w:szCs w:val="26"/>
        </w:rPr>
      </w:pPr>
      <w:r w:rsidRPr="007774E8">
        <w:rPr>
          <w:b/>
          <w:bCs/>
          <w:sz w:val="26"/>
          <w:szCs w:val="26"/>
        </w:rPr>
        <w:t xml:space="preserve">Ιατροί Στρατιωτικών Νοσοκομείων </w:t>
      </w:r>
    </w:p>
    <w:p w:rsidR="00E47EF0" w:rsidRPr="007774E8" w:rsidRDefault="00E47EF0" w:rsidP="00E47EF0">
      <w:pPr>
        <w:pStyle w:val="a3"/>
        <w:numPr>
          <w:ilvl w:val="0"/>
          <w:numId w:val="17"/>
        </w:numPr>
        <w:rPr>
          <w:b/>
          <w:bCs/>
          <w:sz w:val="26"/>
          <w:szCs w:val="26"/>
        </w:rPr>
      </w:pPr>
      <w:r w:rsidRPr="007774E8">
        <w:rPr>
          <w:b/>
          <w:bCs/>
          <w:sz w:val="26"/>
          <w:szCs w:val="26"/>
        </w:rPr>
        <w:t>Τμήματα Επειγόντων των Δημοσίων Νοσοκομείων</w:t>
      </w:r>
    </w:p>
    <w:p w:rsidR="00E47EF0" w:rsidRPr="007774E8" w:rsidRDefault="00E47EF0" w:rsidP="00E47EF0">
      <w:pPr>
        <w:ind w:left="709" w:hanging="851"/>
        <w:rPr>
          <w:bCs/>
          <w:sz w:val="26"/>
          <w:szCs w:val="26"/>
        </w:rPr>
      </w:pPr>
      <w:r w:rsidRPr="007774E8">
        <w:rPr>
          <w:b/>
          <w:bCs/>
          <w:sz w:val="26"/>
          <w:szCs w:val="26"/>
        </w:rPr>
        <w:tab/>
      </w:r>
      <w:r w:rsidRPr="007774E8">
        <w:rPr>
          <w:bCs/>
          <w:sz w:val="26"/>
          <w:szCs w:val="26"/>
        </w:rPr>
        <w:t xml:space="preserve">Στην περίπτωση απουσίας ειδικού ιατρού σε κάποια από τις παραπάνω μονάδες, μπορεί να </w:t>
      </w:r>
      <w:proofErr w:type="spellStart"/>
      <w:r w:rsidRPr="007774E8">
        <w:rPr>
          <w:bCs/>
          <w:sz w:val="26"/>
          <w:szCs w:val="26"/>
        </w:rPr>
        <w:t>συνταγογραφήσει</w:t>
      </w:r>
      <w:proofErr w:type="spellEnd"/>
      <w:r w:rsidRPr="007774E8">
        <w:rPr>
          <w:bCs/>
          <w:sz w:val="26"/>
          <w:szCs w:val="26"/>
        </w:rPr>
        <w:t xml:space="preserve"> σε : </w:t>
      </w:r>
    </w:p>
    <w:p w:rsidR="00E47EF0" w:rsidRPr="007774E8" w:rsidRDefault="00E47EF0" w:rsidP="00E47EF0">
      <w:pPr>
        <w:pStyle w:val="a3"/>
        <w:numPr>
          <w:ilvl w:val="0"/>
          <w:numId w:val="18"/>
        </w:numPr>
        <w:rPr>
          <w:bCs/>
          <w:sz w:val="26"/>
          <w:szCs w:val="26"/>
        </w:rPr>
      </w:pPr>
      <w:r w:rsidRPr="007774E8">
        <w:rPr>
          <w:bCs/>
          <w:sz w:val="26"/>
          <w:szCs w:val="26"/>
        </w:rPr>
        <w:t xml:space="preserve">Δημόσια Δομή (Νοσοκομείο, Κέντρο Υγείας, Περιφερειακό Ιατρείο) </w:t>
      </w:r>
      <w:r w:rsidR="009A4764">
        <w:rPr>
          <w:bCs/>
          <w:sz w:val="26"/>
          <w:szCs w:val="26"/>
        </w:rPr>
        <w:br/>
      </w:r>
    </w:p>
    <w:p w:rsidR="009A4764" w:rsidRDefault="00E47EF0" w:rsidP="009A4764">
      <w:pPr>
        <w:pStyle w:val="a3"/>
        <w:numPr>
          <w:ilvl w:val="0"/>
          <w:numId w:val="18"/>
        </w:numPr>
        <w:rPr>
          <w:bCs/>
          <w:sz w:val="26"/>
          <w:szCs w:val="26"/>
        </w:rPr>
      </w:pPr>
      <w:r w:rsidRPr="007774E8">
        <w:rPr>
          <w:bCs/>
          <w:sz w:val="26"/>
          <w:szCs w:val="26"/>
        </w:rPr>
        <w:t xml:space="preserve">Ιδιώτες Ιατρούς </w:t>
      </w:r>
      <w:r w:rsidR="009A4764">
        <w:rPr>
          <w:bCs/>
          <w:sz w:val="26"/>
          <w:szCs w:val="26"/>
        </w:rPr>
        <w:t xml:space="preserve">: </w:t>
      </w:r>
      <w:r w:rsidR="009A4764" w:rsidRPr="009A4764">
        <w:rPr>
          <w:bCs/>
          <w:sz w:val="26"/>
          <w:szCs w:val="26"/>
        </w:rPr>
        <w:t>Η συνταγογράφηση σε εν ενεργεία στρατιωτικούς (μπλε εντολή) από ιδιώτη ιατρό επιτρέπεται μόνο σε έλλειψη στρατιωτικού ιατρού και ιατρού δημόσιου νοσοκομείου στην περιοχή. Όταν συμβαίνει αυτό, να πιστοποιείται με βεβαίωση από την Υγειονομική Υπηρεσία της Μονάδας ή με σχετικό παραπεμπτικό ή με θεώρηση από ελεγκτή ιατρό.</w:t>
      </w:r>
    </w:p>
    <w:p w:rsidR="00A95A1C" w:rsidRDefault="00A95A1C" w:rsidP="00A95A1C">
      <w:pPr>
        <w:pStyle w:val="a3"/>
        <w:ind w:left="1440"/>
        <w:rPr>
          <w:bCs/>
          <w:sz w:val="26"/>
          <w:szCs w:val="26"/>
        </w:rPr>
      </w:pPr>
    </w:p>
    <w:p w:rsidR="00A95A1C" w:rsidRPr="00A95A1C" w:rsidRDefault="00A95A1C" w:rsidP="00A95A1C">
      <w:pPr>
        <w:pStyle w:val="a3"/>
        <w:numPr>
          <w:ilvl w:val="0"/>
          <w:numId w:val="18"/>
        </w:numPr>
        <w:rPr>
          <w:rFonts w:eastAsia="Times New Roman"/>
        </w:rPr>
      </w:pPr>
      <w:r w:rsidRPr="00A95A1C">
        <w:rPr>
          <w:rFonts w:ascii="Calibri" w:eastAsia="Times New Roman" w:hAnsi="Calibri"/>
          <w:sz w:val="26"/>
          <w:szCs w:val="26"/>
          <w:shd w:val="clear" w:color="auto" w:fill="FFFFFF"/>
        </w:rPr>
        <w:t>Στο </w:t>
      </w:r>
      <w:r w:rsidRPr="00A95A1C">
        <w:rPr>
          <w:rFonts w:ascii="Calibri" w:eastAsia="Times New Roman" w:hAnsi="Calibri"/>
          <w:sz w:val="26"/>
          <w:szCs w:val="26"/>
          <w:u w:val="single"/>
        </w:rPr>
        <w:t>ταμείο της αεροπορίας</w:t>
      </w:r>
      <w:r w:rsidRPr="00A95A1C">
        <w:rPr>
          <w:rFonts w:ascii="Calibri" w:eastAsia="Times New Roman" w:hAnsi="Calibri"/>
          <w:sz w:val="26"/>
          <w:szCs w:val="26"/>
          <w:shd w:val="clear" w:color="auto" w:fill="FFFFFF"/>
        </w:rPr>
        <w:t>, παρότι δεν αναγράφεται ρητά,  θα εξακολουθεί να ισχύει πως </w:t>
      </w:r>
      <w:r w:rsidRPr="00A95A1C">
        <w:rPr>
          <w:rFonts w:ascii="Calibri" w:eastAsia="Times New Roman" w:hAnsi="Calibri"/>
          <w:sz w:val="26"/>
          <w:szCs w:val="26"/>
          <w:u w:val="single"/>
        </w:rPr>
        <w:t>η άμεσα ασφαλισμένη αεροπόρος μπορεί να επισκέπτεται ιδιώτη γυναικολόγο</w:t>
      </w:r>
      <w:r w:rsidRPr="00A95A1C">
        <w:rPr>
          <w:rFonts w:ascii="Calibri" w:eastAsia="Times New Roman" w:hAnsi="Calibri"/>
          <w:sz w:val="26"/>
          <w:szCs w:val="26"/>
          <w:shd w:val="clear" w:color="auto" w:fill="FFFFFF"/>
        </w:rPr>
        <w:t>. </w:t>
      </w:r>
      <w:r w:rsidRPr="00A95A1C">
        <w:rPr>
          <w:rFonts w:ascii="Calibri" w:eastAsia="Times New Roman" w:hAnsi="Calibri"/>
          <w:b/>
          <w:bCs/>
          <w:sz w:val="26"/>
          <w:szCs w:val="26"/>
        </w:rPr>
        <w:t>Για τα αλλά δυο ταμεία αυτό δεν ισχύει</w:t>
      </w:r>
      <w:r w:rsidRPr="00A95A1C">
        <w:rPr>
          <w:rFonts w:ascii="Calibri" w:eastAsia="Times New Roman" w:hAnsi="Calibri"/>
          <w:sz w:val="26"/>
          <w:szCs w:val="26"/>
          <w:shd w:val="clear" w:color="auto" w:fill="FFFFFF"/>
        </w:rPr>
        <w:t> όσον αφορά την άμεση σφαλισμένη.</w:t>
      </w:r>
    </w:p>
    <w:p w:rsidR="00E47EF0" w:rsidRPr="007774E8" w:rsidRDefault="00A95A1C" w:rsidP="009A4764">
      <w:pPr>
        <w:pStyle w:val="a3"/>
        <w:ind w:left="1440"/>
        <w:rPr>
          <w:bCs/>
          <w:sz w:val="26"/>
          <w:szCs w:val="26"/>
        </w:rPr>
      </w:pPr>
      <w:r w:rsidRPr="00A95A1C">
        <w:rPr>
          <w:rFonts w:ascii="Calibri" w:eastAsia="Times New Roman" w:hAnsi="Calibri"/>
          <w:sz w:val="26"/>
          <w:szCs w:val="26"/>
          <w:shd w:val="clear" w:color="auto" w:fill="FFFFFF"/>
        </w:rPr>
        <w:br/>
      </w:r>
    </w:p>
    <w:p w:rsidR="007774E8" w:rsidRDefault="00E47EF0" w:rsidP="00E47EF0">
      <w:pPr>
        <w:numPr>
          <w:ilvl w:val="0"/>
          <w:numId w:val="2"/>
        </w:numPr>
        <w:rPr>
          <w:bCs/>
          <w:sz w:val="26"/>
          <w:szCs w:val="26"/>
        </w:rPr>
      </w:pPr>
      <w:r w:rsidRPr="007774E8">
        <w:rPr>
          <w:bCs/>
          <w:sz w:val="26"/>
          <w:szCs w:val="26"/>
        </w:rPr>
        <w:t xml:space="preserve">Για την προμήθεια των αναλώσιμων υλικών, απαιτείται  η γνωμάτευση από την οικεία Επιτροπή Απαλλαγών. </w:t>
      </w:r>
    </w:p>
    <w:p w:rsidR="00E47EF0" w:rsidRPr="007774E8" w:rsidRDefault="007774E8" w:rsidP="007774E8">
      <w:pPr>
        <w:ind w:left="720"/>
        <w:rPr>
          <w:bCs/>
          <w:sz w:val="26"/>
          <w:szCs w:val="26"/>
        </w:rPr>
      </w:pPr>
      <w:r>
        <w:rPr>
          <w:bCs/>
          <w:sz w:val="26"/>
          <w:szCs w:val="26"/>
        </w:rPr>
        <w:t xml:space="preserve">ΠΡΟΣΟΧΗ!  </w:t>
      </w:r>
      <w:r w:rsidR="00E47EF0" w:rsidRPr="007774E8">
        <w:rPr>
          <w:bCs/>
          <w:sz w:val="26"/>
          <w:szCs w:val="26"/>
        </w:rPr>
        <w:t xml:space="preserve">Η εντολή παραδίδεται στον Φαρμακοποιό, φέροντας </w:t>
      </w:r>
      <w:r w:rsidR="00E47EF0" w:rsidRPr="007774E8">
        <w:rPr>
          <w:bCs/>
          <w:sz w:val="26"/>
          <w:szCs w:val="26"/>
          <w:u w:val="single"/>
        </w:rPr>
        <w:t>οπωσδήποτε</w:t>
      </w:r>
      <w:r w:rsidR="00E47EF0" w:rsidRPr="007774E8">
        <w:rPr>
          <w:bCs/>
          <w:sz w:val="26"/>
          <w:szCs w:val="26"/>
        </w:rPr>
        <w:t xml:space="preserve"> : </w:t>
      </w:r>
    </w:p>
    <w:p w:rsidR="00E47EF0" w:rsidRPr="007774E8" w:rsidRDefault="00E47EF0" w:rsidP="00E47EF0">
      <w:pPr>
        <w:numPr>
          <w:ilvl w:val="1"/>
          <w:numId w:val="2"/>
        </w:numPr>
        <w:rPr>
          <w:bCs/>
          <w:sz w:val="26"/>
          <w:szCs w:val="26"/>
        </w:rPr>
      </w:pPr>
      <w:r w:rsidRPr="007774E8">
        <w:rPr>
          <w:bCs/>
          <w:sz w:val="26"/>
          <w:szCs w:val="26"/>
        </w:rPr>
        <w:t>την υπογραφή και την επαγγελματική σφραγίδα του θεράποντος ιατρού,</w:t>
      </w:r>
    </w:p>
    <w:p w:rsidR="00E47EF0" w:rsidRPr="007774E8" w:rsidRDefault="00E47EF0" w:rsidP="00E47EF0">
      <w:pPr>
        <w:numPr>
          <w:ilvl w:val="1"/>
          <w:numId w:val="2"/>
        </w:numPr>
        <w:rPr>
          <w:bCs/>
          <w:sz w:val="26"/>
          <w:szCs w:val="26"/>
        </w:rPr>
      </w:pPr>
      <w:r w:rsidRPr="007774E8">
        <w:rPr>
          <w:bCs/>
          <w:sz w:val="26"/>
          <w:szCs w:val="26"/>
        </w:rPr>
        <w:t xml:space="preserve">την υπογραφή και την επαγγελματική σφραγίδα του στρατιωτικού ελεγκτή ιατρού, με την υπηρεσιακή (στρογγυλή) σφραγίδα αυτού </w:t>
      </w:r>
    </w:p>
    <w:p w:rsidR="00E47EF0" w:rsidRPr="007774E8" w:rsidRDefault="00E47EF0" w:rsidP="00E47EF0">
      <w:pPr>
        <w:numPr>
          <w:ilvl w:val="1"/>
          <w:numId w:val="2"/>
        </w:numPr>
        <w:rPr>
          <w:bCs/>
          <w:sz w:val="26"/>
          <w:szCs w:val="26"/>
        </w:rPr>
      </w:pPr>
      <w:r w:rsidRPr="007774E8">
        <w:rPr>
          <w:bCs/>
          <w:sz w:val="26"/>
          <w:szCs w:val="26"/>
        </w:rPr>
        <w:t xml:space="preserve">τον αριθμό του βιβλιαρίου μπροστά, </w:t>
      </w:r>
    </w:p>
    <w:p w:rsidR="007774E8" w:rsidRPr="007774E8" w:rsidRDefault="00E47EF0" w:rsidP="007774E8">
      <w:pPr>
        <w:numPr>
          <w:ilvl w:val="1"/>
          <w:numId w:val="2"/>
        </w:numPr>
        <w:rPr>
          <w:bCs/>
          <w:sz w:val="26"/>
          <w:szCs w:val="26"/>
        </w:rPr>
      </w:pPr>
      <w:r w:rsidRPr="007774E8">
        <w:rPr>
          <w:bCs/>
          <w:sz w:val="26"/>
          <w:szCs w:val="26"/>
        </w:rPr>
        <w:t>τα στοιχεία του προστάτη</w:t>
      </w:r>
      <w:r w:rsidR="007774E8" w:rsidRPr="007774E8">
        <w:rPr>
          <w:sz w:val="26"/>
          <w:szCs w:val="26"/>
        </w:rPr>
        <w:t xml:space="preserve"> </w:t>
      </w:r>
    </w:p>
    <w:p w:rsidR="007774E8" w:rsidRDefault="007774E8" w:rsidP="007774E8">
      <w:pPr>
        <w:numPr>
          <w:ilvl w:val="1"/>
          <w:numId w:val="2"/>
        </w:numPr>
        <w:rPr>
          <w:bCs/>
          <w:sz w:val="26"/>
          <w:szCs w:val="26"/>
        </w:rPr>
      </w:pPr>
      <w:r w:rsidRPr="007774E8">
        <w:rPr>
          <w:bCs/>
          <w:sz w:val="26"/>
          <w:szCs w:val="26"/>
        </w:rPr>
        <w:t>την χορηγούμενη</w:t>
      </w:r>
      <w:r>
        <w:rPr>
          <w:bCs/>
          <w:sz w:val="26"/>
          <w:szCs w:val="26"/>
        </w:rPr>
        <w:t xml:space="preserve"> ποσότητα και ολογράφως &amp; την </w:t>
      </w:r>
      <w:r w:rsidRPr="007774E8">
        <w:rPr>
          <w:bCs/>
          <w:sz w:val="26"/>
          <w:szCs w:val="26"/>
        </w:rPr>
        <w:t xml:space="preserve">δοσολογία χορήγησης, </w:t>
      </w:r>
    </w:p>
    <w:p w:rsidR="007774E8" w:rsidRPr="007774E8" w:rsidRDefault="007774E8" w:rsidP="007774E8">
      <w:pPr>
        <w:numPr>
          <w:ilvl w:val="1"/>
          <w:numId w:val="2"/>
        </w:numPr>
        <w:rPr>
          <w:bCs/>
          <w:sz w:val="26"/>
          <w:szCs w:val="26"/>
        </w:rPr>
      </w:pPr>
      <w:r w:rsidRPr="007774E8">
        <w:rPr>
          <w:bCs/>
          <w:sz w:val="26"/>
          <w:szCs w:val="26"/>
        </w:rPr>
        <w:t xml:space="preserve">Χρειάζεται να επικολλάμε επάνω τα άυλα κουπόνια των υλικών. </w:t>
      </w:r>
    </w:p>
    <w:p w:rsidR="00E47EF0" w:rsidRPr="007774E8" w:rsidRDefault="00E47EF0" w:rsidP="00E47EF0">
      <w:pPr>
        <w:numPr>
          <w:ilvl w:val="1"/>
          <w:numId w:val="2"/>
        </w:numPr>
        <w:rPr>
          <w:bCs/>
          <w:sz w:val="26"/>
          <w:szCs w:val="26"/>
        </w:rPr>
      </w:pPr>
      <w:r w:rsidRPr="007774E8">
        <w:rPr>
          <w:bCs/>
          <w:sz w:val="26"/>
          <w:szCs w:val="26"/>
        </w:rPr>
        <w:t>υπογραφή από τον δικαιούχο περιθαλπόμενο.</w:t>
      </w:r>
    </w:p>
    <w:p w:rsidR="00E47EF0" w:rsidRPr="007774E8" w:rsidRDefault="00E47EF0" w:rsidP="00E47EF0">
      <w:pPr>
        <w:numPr>
          <w:ilvl w:val="1"/>
          <w:numId w:val="2"/>
        </w:numPr>
        <w:rPr>
          <w:bCs/>
          <w:sz w:val="26"/>
          <w:szCs w:val="26"/>
        </w:rPr>
      </w:pPr>
      <w:r w:rsidRPr="007774E8">
        <w:rPr>
          <w:bCs/>
          <w:sz w:val="26"/>
          <w:szCs w:val="26"/>
        </w:rPr>
        <w:t xml:space="preserve">Στην πίσω όψη  της εντολής τίθεται η υπογραφή και σφραγίδα του φαρμακοποιού που εκτελεί τη συνταγή, καθώς και η ημερομηνία εκτελέσεώς της. </w:t>
      </w:r>
    </w:p>
    <w:p w:rsidR="009A4764" w:rsidRPr="009A4764" w:rsidRDefault="009A4764" w:rsidP="009A4764">
      <w:pPr>
        <w:numPr>
          <w:ilvl w:val="0"/>
          <w:numId w:val="2"/>
        </w:numPr>
        <w:rPr>
          <w:b/>
          <w:bCs/>
          <w:sz w:val="26"/>
          <w:szCs w:val="26"/>
        </w:rPr>
      </w:pPr>
      <w:r w:rsidRPr="007774E8">
        <w:rPr>
          <w:b/>
          <w:bCs/>
          <w:sz w:val="26"/>
          <w:szCs w:val="26"/>
        </w:rPr>
        <w:t xml:space="preserve">Όλες οι συνταγές αναλωσίμων θέλουν θεώρηση από ελεγκτή ! </w:t>
      </w:r>
    </w:p>
    <w:p w:rsidR="00E47EF0" w:rsidRPr="007774E8" w:rsidRDefault="00E47EF0" w:rsidP="00E47EF0">
      <w:pPr>
        <w:pStyle w:val="a3"/>
        <w:numPr>
          <w:ilvl w:val="0"/>
          <w:numId w:val="2"/>
        </w:numPr>
        <w:rPr>
          <w:bCs/>
          <w:sz w:val="26"/>
          <w:szCs w:val="26"/>
        </w:rPr>
      </w:pPr>
      <w:r w:rsidRPr="007774E8">
        <w:rPr>
          <w:b/>
          <w:bCs/>
          <w:sz w:val="26"/>
          <w:szCs w:val="26"/>
        </w:rPr>
        <w:t>Το διάστημα μεταξύ συνταγογράφησης και της εκτέλεσης δεν ξεπερνά τις πέντε (5) εργάσιμες ημέρες</w:t>
      </w:r>
      <w:r w:rsidRPr="007774E8">
        <w:rPr>
          <w:bCs/>
          <w:sz w:val="26"/>
          <w:szCs w:val="26"/>
        </w:rPr>
        <w:t>, μετρώντας από την επόμενη ημέρα που έγινε η συνταγογράφηση.</w:t>
      </w:r>
    </w:p>
    <w:p w:rsidR="00E47EF0" w:rsidRPr="007774E8" w:rsidRDefault="00E47EF0" w:rsidP="00E47EF0">
      <w:pPr>
        <w:numPr>
          <w:ilvl w:val="0"/>
          <w:numId w:val="2"/>
        </w:numPr>
        <w:rPr>
          <w:bCs/>
          <w:sz w:val="26"/>
          <w:szCs w:val="26"/>
        </w:rPr>
      </w:pPr>
      <w:r w:rsidRPr="007774E8">
        <w:rPr>
          <w:bCs/>
          <w:sz w:val="26"/>
          <w:szCs w:val="26"/>
        </w:rPr>
        <w:t xml:space="preserve">Για την προμήθεια </w:t>
      </w:r>
      <w:proofErr w:type="spellStart"/>
      <w:r w:rsidRPr="007774E8">
        <w:rPr>
          <w:bCs/>
          <w:sz w:val="26"/>
          <w:szCs w:val="26"/>
        </w:rPr>
        <w:t>Free</w:t>
      </w:r>
      <w:proofErr w:type="spellEnd"/>
      <w:r w:rsidRPr="007774E8">
        <w:rPr>
          <w:bCs/>
          <w:sz w:val="26"/>
          <w:szCs w:val="26"/>
        </w:rPr>
        <w:t xml:space="preserve"> </w:t>
      </w:r>
      <w:proofErr w:type="spellStart"/>
      <w:r w:rsidRPr="007774E8">
        <w:rPr>
          <w:bCs/>
          <w:sz w:val="26"/>
          <w:szCs w:val="26"/>
        </w:rPr>
        <w:t>style</w:t>
      </w:r>
      <w:proofErr w:type="spellEnd"/>
      <w:r w:rsidRPr="007774E8">
        <w:rPr>
          <w:bCs/>
          <w:sz w:val="26"/>
          <w:szCs w:val="26"/>
        </w:rPr>
        <w:t xml:space="preserve"> </w:t>
      </w:r>
      <w:proofErr w:type="spellStart"/>
      <w:r w:rsidRPr="007774E8">
        <w:rPr>
          <w:bCs/>
          <w:sz w:val="26"/>
          <w:szCs w:val="26"/>
        </w:rPr>
        <w:t>Libre</w:t>
      </w:r>
      <w:proofErr w:type="spellEnd"/>
      <w:r w:rsidRPr="007774E8">
        <w:rPr>
          <w:bCs/>
          <w:sz w:val="26"/>
          <w:szCs w:val="26"/>
        </w:rPr>
        <w:t xml:space="preserve"> να αναγράφεται επί της εντολής ο αριθμός που εκτελέστηκε ανά συνταγή με βάσει το ετήσιο σύνολο.</w:t>
      </w:r>
    </w:p>
    <w:p w:rsidR="00304191" w:rsidRDefault="00304191" w:rsidP="00304191">
      <w:pPr>
        <w:numPr>
          <w:ilvl w:val="0"/>
          <w:numId w:val="2"/>
        </w:numPr>
        <w:rPr>
          <w:bCs/>
          <w:sz w:val="26"/>
          <w:szCs w:val="26"/>
        </w:rPr>
      </w:pPr>
      <w:r w:rsidRPr="007774E8">
        <w:rPr>
          <w:bCs/>
          <w:sz w:val="26"/>
          <w:szCs w:val="26"/>
        </w:rPr>
        <w:t>Επιτρέπεται η συνταγογράφηση για μήνα, δίμηνο έως και εξάμηνο. Η συνταγογράφηση γίνεται στις αρχές του μήνα ή στο τέλος του προηγούμενου.</w:t>
      </w:r>
    </w:p>
    <w:p w:rsidR="00A95A1C" w:rsidRPr="00A95A1C" w:rsidRDefault="00A95A1C" w:rsidP="00A95A1C">
      <w:pPr>
        <w:ind w:left="720"/>
        <w:rPr>
          <w:bCs/>
          <w:sz w:val="26"/>
          <w:szCs w:val="26"/>
        </w:rPr>
      </w:pPr>
    </w:p>
    <w:p w:rsidR="00A95A1C" w:rsidRPr="00A95A1C" w:rsidRDefault="00A95A1C" w:rsidP="00A95A1C">
      <w:pPr>
        <w:numPr>
          <w:ilvl w:val="0"/>
          <w:numId w:val="2"/>
        </w:numPr>
        <w:rPr>
          <w:bCs/>
          <w:sz w:val="26"/>
          <w:szCs w:val="26"/>
        </w:rPr>
      </w:pPr>
      <w:r w:rsidRPr="00A95A1C">
        <w:rPr>
          <w:bCs/>
          <w:sz w:val="26"/>
          <w:szCs w:val="26"/>
        </w:rPr>
        <w:t xml:space="preserve">Για την χορήγηση αναλώσιμων με άυλο </w:t>
      </w:r>
      <w:proofErr w:type="spellStart"/>
      <w:r w:rsidRPr="00A95A1C">
        <w:rPr>
          <w:bCs/>
          <w:sz w:val="26"/>
          <w:szCs w:val="26"/>
        </w:rPr>
        <w:t>barcode</w:t>
      </w:r>
      <w:proofErr w:type="spellEnd"/>
      <w:r w:rsidRPr="00A95A1C">
        <w:rPr>
          <w:bCs/>
          <w:sz w:val="26"/>
          <w:szCs w:val="26"/>
        </w:rPr>
        <w:t xml:space="preserve"> (πλαίσια που δεν αποκολλώνται) θα επισυνάπτεται κατάσταση με τους κωδικούς ΕΑΝ που χορηγήθηκαν και σφραγίδα υπογραφή του φαρμακοποιού που τα χορήγησε. </w:t>
      </w:r>
    </w:p>
    <w:p w:rsidR="00A95A1C" w:rsidRPr="007774E8" w:rsidRDefault="00A95A1C" w:rsidP="00A95A1C">
      <w:pPr>
        <w:ind w:left="720"/>
        <w:rPr>
          <w:bCs/>
          <w:sz w:val="26"/>
          <w:szCs w:val="26"/>
        </w:rPr>
      </w:pPr>
      <w:bookmarkStart w:id="0" w:name="_GoBack"/>
      <w:bookmarkEnd w:id="0"/>
    </w:p>
    <w:p w:rsidR="007774E8" w:rsidRPr="00BC5B40" w:rsidRDefault="007774E8" w:rsidP="007774E8">
      <w:pPr>
        <w:pStyle w:val="a4"/>
        <w:pBdr>
          <w:bottom w:val="single" w:sz="8" w:space="0" w:color="4F81BD" w:themeColor="accent1"/>
        </w:pBdr>
        <w:rPr>
          <w:rFonts w:eastAsia="Times New Roman"/>
          <w:sz w:val="44"/>
          <w:shd w:val="clear" w:color="auto" w:fill="FFFFFF"/>
          <w:lang w:eastAsia="el-GR"/>
        </w:rPr>
      </w:pPr>
      <w:r w:rsidRPr="00BC5B40">
        <w:rPr>
          <w:rFonts w:eastAsia="Times New Roman"/>
          <w:sz w:val="44"/>
          <w:shd w:val="clear" w:color="auto" w:fill="FFFFFF"/>
          <w:lang w:eastAsia="el-GR"/>
        </w:rPr>
        <w:t>Δι</w:t>
      </w:r>
      <w:r w:rsidRPr="007774E8">
        <w:rPr>
          <w:rFonts w:eastAsia="Times New Roman"/>
          <w:sz w:val="42"/>
          <w:szCs w:val="42"/>
          <w:shd w:val="clear" w:color="auto" w:fill="FFFFFF"/>
          <w:lang w:eastAsia="el-GR"/>
        </w:rPr>
        <w:t xml:space="preserve">καιολογητικά </w:t>
      </w:r>
      <w:r w:rsidR="00A95A1C">
        <w:rPr>
          <w:rFonts w:eastAsia="Times New Roman"/>
          <w:sz w:val="42"/>
          <w:szCs w:val="42"/>
          <w:shd w:val="clear" w:color="auto" w:fill="FFFFFF"/>
          <w:lang w:eastAsia="el-GR"/>
        </w:rPr>
        <w:t>υποβολής συνταγών αναλωσίμων ΓΕΑ</w:t>
      </w:r>
      <w:r w:rsidRPr="007774E8">
        <w:rPr>
          <w:rFonts w:eastAsia="Times New Roman"/>
          <w:sz w:val="40"/>
          <w:shd w:val="clear" w:color="auto" w:fill="FFFFFF"/>
          <w:lang w:eastAsia="el-GR"/>
        </w:rPr>
        <w:t xml:space="preserve"> </w:t>
      </w:r>
    </w:p>
    <w:p w:rsidR="007774E8" w:rsidRPr="00A713A9" w:rsidRDefault="009A4764" w:rsidP="007774E8">
      <w:pPr>
        <w:pStyle w:val="a3"/>
        <w:numPr>
          <w:ilvl w:val="0"/>
          <w:numId w:val="15"/>
        </w:numPr>
        <w:spacing w:after="300" w:line="240" w:lineRule="auto"/>
        <w:rPr>
          <w:rFonts w:eastAsia="Times New Roman" w:cs="Arial"/>
          <w:sz w:val="26"/>
          <w:szCs w:val="26"/>
          <w:lang w:eastAsia="el-GR"/>
        </w:rPr>
      </w:pPr>
      <w:r w:rsidRPr="00DA0ADF">
        <w:rPr>
          <w:rFonts w:eastAsia="Times New Roman" w:cs="Times New Roman"/>
          <w:color w:val="000000"/>
          <w:sz w:val="26"/>
          <w:szCs w:val="26"/>
          <w:lang w:eastAsia="el-GR"/>
        </w:rPr>
        <w:t xml:space="preserve">Υποβάλλονται </w:t>
      </w:r>
      <w:r w:rsidRPr="00DA0ADF">
        <w:rPr>
          <w:rFonts w:eastAsia="Times New Roman" w:cs="Times New Roman"/>
          <w:sz w:val="26"/>
          <w:szCs w:val="26"/>
          <w:lang w:eastAsia="el-GR"/>
        </w:rPr>
        <w:t>σε </w:t>
      </w:r>
      <w:r w:rsidRPr="00DA0ADF">
        <w:rPr>
          <w:rFonts w:eastAsia="Times New Roman" w:cs="Times New Roman"/>
          <w:i/>
          <w:iCs/>
          <w:sz w:val="26"/>
          <w:szCs w:val="26"/>
          <w:lang w:eastAsia="el-GR"/>
        </w:rPr>
        <w:t>διαφορετικό φάκελο από αυτόν των φαρμάκων</w:t>
      </w:r>
      <w:r w:rsidRPr="009A4764">
        <w:rPr>
          <w:rFonts w:eastAsia="Times New Roman" w:cs="Arial"/>
          <w:sz w:val="26"/>
          <w:szCs w:val="26"/>
          <w:lang w:eastAsia="el-GR"/>
        </w:rPr>
        <w:t xml:space="preserve"> </w:t>
      </w:r>
    </w:p>
    <w:p w:rsidR="007774E8" w:rsidRPr="00A713A9" w:rsidRDefault="007774E8" w:rsidP="007774E8">
      <w:pPr>
        <w:numPr>
          <w:ilvl w:val="0"/>
          <w:numId w:val="15"/>
        </w:numPr>
        <w:jc w:val="both"/>
        <w:rPr>
          <w:bCs/>
          <w:sz w:val="26"/>
          <w:szCs w:val="26"/>
        </w:rPr>
      </w:pPr>
      <w:r w:rsidRPr="00A713A9">
        <w:rPr>
          <w:bCs/>
          <w:sz w:val="26"/>
          <w:szCs w:val="26"/>
        </w:rPr>
        <w:t>Μέχρι τέλους του τρέχοντος μήνα αποστέλλεται ο λογαριασμός του προηγούμενου μήνα. Οι συνταγές να είναι αριθμημένες και τοποθετημένες κατά χρονολογική σειρά εκτέλεσης.</w:t>
      </w:r>
    </w:p>
    <w:p w:rsidR="007774E8" w:rsidRPr="00A713A9" w:rsidRDefault="007774E8" w:rsidP="007774E8">
      <w:pPr>
        <w:numPr>
          <w:ilvl w:val="0"/>
          <w:numId w:val="15"/>
        </w:numPr>
        <w:jc w:val="both"/>
        <w:rPr>
          <w:bCs/>
          <w:sz w:val="26"/>
          <w:szCs w:val="26"/>
        </w:rPr>
      </w:pPr>
      <w:r w:rsidRPr="00A713A9">
        <w:rPr>
          <w:bCs/>
          <w:sz w:val="26"/>
          <w:szCs w:val="26"/>
        </w:rPr>
        <w:t>Αν ο λογαριασμός είναι μέχρι </w:t>
      </w:r>
      <w:r w:rsidRPr="00A713A9">
        <w:rPr>
          <w:bCs/>
          <w:sz w:val="26"/>
          <w:szCs w:val="26"/>
          <w:u w:val="single"/>
        </w:rPr>
        <w:t>1500€</w:t>
      </w:r>
      <w:r w:rsidRPr="00A713A9">
        <w:rPr>
          <w:bCs/>
          <w:sz w:val="26"/>
          <w:szCs w:val="26"/>
        </w:rPr>
        <w:t> θα μπορεί να καλύπτει περίοδο μεγαλύτερη από ένα(1) μήνα, αλλά οπωσδήποτε μικρότερη των έξι(6) μηνών. Σ’ αυτή την περίπτωση θα υποβάλλονται καταστάσεις ανά μήνα.</w:t>
      </w:r>
    </w:p>
    <w:p w:rsidR="007774E8" w:rsidRDefault="007774E8" w:rsidP="007774E8">
      <w:pPr>
        <w:numPr>
          <w:ilvl w:val="0"/>
          <w:numId w:val="15"/>
        </w:numPr>
        <w:jc w:val="both"/>
        <w:rPr>
          <w:bCs/>
          <w:sz w:val="26"/>
          <w:szCs w:val="26"/>
        </w:rPr>
      </w:pPr>
      <w:r w:rsidRPr="00A713A9">
        <w:rPr>
          <w:bCs/>
          <w:sz w:val="26"/>
          <w:szCs w:val="26"/>
        </w:rPr>
        <w:t xml:space="preserve">Η υποβολή του λογαριασμού θα αφορά συγκεκριμένη χρονική περίοδο και δεν θα επιτρέπεται η εκ νέου υποβολή εντολών της ίδιας περιόδου. Εξαιρείται η περίπτωση επιστραφέντων εντολών που </w:t>
      </w:r>
      <w:proofErr w:type="spellStart"/>
      <w:r w:rsidRPr="00A713A9">
        <w:rPr>
          <w:bCs/>
          <w:sz w:val="26"/>
          <w:szCs w:val="26"/>
        </w:rPr>
        <w:t>επαναϋποβάλλονται</w:t>
      </w:r>
      <w:proofErr w:type="spellEnd"/>
      <w:r w:rsidRPr="00A713A9">
        <w:rPr>
          <w:bCs/>
          <w:sz w:val="26"/>
          <w:szCs w:val="26"/>
        </w:rPr>
        <w:t xml:space="preserve"> για επανέλεγχο.</w:t>
      </w:r>
    </w:p>
    <w:p w:rsidR="007774E8" w:rsidRPr="0006101C" w:rsidRDefault="007774E8" w:rsidP="007774E8">
      <w:pPr>
        <w:ind w:left="720"/>
        <w:jc w:val="both"/>
        <w:rPr>
          <w:bCs/>
          <w:sz w:val="26"/>
          <w:szCs w:val="26"/>
        </w:rPr>
      </w:pPr>
    </w:p>
    <w:p w:rsidR="00732A17" w:rsidRDefault="007774E8" w:rsidP="00732A17">
      <w:pPr>
        <w:pStyle w:val="1"/>
        <w:numPr>
          <w:ilvl w:val="0"/>
          <w:numId w:val="19"/>
        </w:numPr>
        <w:spacing w:before="0"/>
        <w:rPr>
          <w:rFonts w:eastAsia="Times New Roman"/>
          <w:lang w:eastAsia="el-GR"/>
        </w:rPr>
      </w:pPr>
      <w:r w:rsidRPr="0006101C">
        <w:rPr>
          <w:rFonts w:eastAsia="Times New Roman"/>
          <w:lang w:eastAsia="el-GR"/>
        </w:rPr>
        <w:t xml:space="preserve">Αίτηση Φαρμακείου </w:t>
      </w:r>
      <w:r w:rsidRPr="0006101C">
        <w:rPr>
          <w:rFonts w:eastAsia="Times New Roman"/>
          <w:highlight w:val="yellow"/>
          <w:lang w:eastAsia="el-GR"/>
        </w:rPr>
        <w:t>(βλ. επισυναπτόμενο έγγραφο)</w:t>
      </w:r>
      <w:r w:rsidRPr="0006101C">
        <w:rPr>
          <w:rFonts w:eastAsia="Times New Roman"/>
          <w:lang w:eastAsia="el-GR"/>
        </w:rPr>
        <w:t xml:space="preserve"> </w:t>
      </w:r>
    </w:p>
    <w:p w:rsidR="00732A17" w:rsidRPr="00732A17" w:rsidRDefault="00732A17" w:rsidP="00732A17">
      <w:pPr>
        <w:rPr>
          <w:lang w:eastAsia="el-GR"/>
        </w:rPr>
      </w:pPr>
    </w:p>
    <w:p w:rsidR="00732A17" w:rsidRDefault="00732A17" w:rsidP="00732A17">
      <w:pPr>
        <w:pStyle w:val="a3"/>
        <w:numPr>
          <w:ilvl w:val="0"/>
          <w:numId w:val="19"/>
        </w:numPr>
        <w:rPr>
          <w:rFonts w:asciiTheme="majorHAnsi" w:eastAsia="Times New Roman" w:hAnsiTheme="majorHAnsi" w:cstheme="majorBidi"/>
          <w:b/>
          <w:bCs/>
          <w:color w:val="365F91" w:themeColor="accent1" w:themeShade="BF"/>
          <w:sz w:val="28"/>
          <w:szCs w:val="28"/>
          <w:lang w:eastAsia="el-GR"/>
        </w:rPr>
      </w:pPr>
      <w:r>
        <w:rPr>
          <w:rFonts w:asciiTheme="majorHAnsi" w:eastAsia="Times New Roman" w:hAnsiTheme="majorHAnsi" w:cstheme="majorBidi"/>
          <w:b/>
          <w:bCs/>
          <w:color w:val="365F91" w:themeColor="accent1" w:themeShade="BF"/>
          <w:sz w:val="28"/>
          <w:szCs w:val="28"/>
          <w:lang w:eastAsia="el-GR"/>
        </w:rPr>
        <w:t xml:space="preserve">Ηλεκτρονική Συνταγή </w:t>
      </w:r>
      <w:r w:rsidRPr="00732A17">
        <w:rPr>
          <w:rFonts w:asciiTheme="majorHAnsi" w:eastAsia="Times New Roman" w:hAnsiTheme="majorHAnsi" w:cstheme="majorBidi"/>
          <w:b/>
          <w:bCs/>
          <w:color w:val="365F91" w:themeColor="accent1" w:themeShade="BF"/>
          <w:sz w:val="28"/>
          <w:szCs w:val="28"/>
          <w:lang w:eastAsia="el-GR"/>
        </w:rPr>
        <w:t xml:space="preserve">από ειδικό ιατρό ή ιατρό άνευ ειδικότητας, θεωρημένη από ελεγκτή ιατρό, στο οποίο θα αναγράφεται από τον </w:t>
      </w:r>
      <w:proofErr w:type="spellStart"/>
      <w:r w:rsidRPr="00732A17">
        <w:rPr>
          <w:rFonts w:asciiTheme="majorHAnsi" w:eastAsia="Times New Roman" w:hAnsiTheme="majorHAnsi" w:cstheme="majorBidi"/>
          <w:b/>
          <w:bCs/>
          <w:color w:val="365F91" w:themeColor="accent1" w:themeShade="BF"/>
          <w:sz w:val="28"/>
          <w:szCs w:val="28"/>
          <w:lang w:eastAsia="el-GR"/>
        </w:rPr>
        <w:t>συνταγογραφούντα</w:t>
      </w:r>
      <w:proofErr w:type="spellEnd"/>
      <w:r w:rsidRPr="00732A17">
        <w:rPr>
          <w:rFonts w:asciiTheme="majorHAnsi" w:eastAsia="Times New Roman" w:hAnsiTheme="majorHAnsi" w:cstheme="majorBidi"/>
          <w:b/>
          <w:bCs/>
          <w:color w:val="365F91" w:themeColor="accent1" w:themeShade="BF"/>
          <w:sz w:val="28"/>
          <w:szCs w:val="28"/>
          <w:lang w:eastAsia="el-GR"/>
        </w:rPr>
        <w:t xml:space="preserve"> ιατρό το είδος (ΧΩΡΙΣ ΕΜΠΟΡΙΚΗ ΟΝΟΜΑΣΙΑ) και η ποσότητα των υλικών καθώς και το χρονικό διάστημα κάλυψης, το οποίο δεν δύναται να ξεπερνάει τους 2 μήνες. </w:t>
      </w:r>
    </w:p>
    <w:p w:rsidR="00732A17" w:rsidRPr="00732A17" w:rsidRDefault="00732A17" w:rsidP="00732A17">
      <w:pPr>
        <w:pStyle w:val="a3"/>
        <w:rPr>
          <w:rFonts w:asciiTheme="majorHAnsi" w:eastAsia="Times New Roman" w:hAnsiTheme="majorHAnsi" w:cstheme="majorBidi"/>
          <w:b/>
          <w:bCs/>
          <w:color w:val="365F91" w:themeColor="accent1" w:themeShade="BF"/>
          <w:sz w:val="28"/>
          <w:szCs w:val="28"/>
          <w:lang w:eastAsia="el-GR"/>
        </w:rPr>
      </w:pPr>
    </w:p>
    <w:p w:rsidR="00732A17" w:rsidRDefault="00732A17" w:rsidP="00732A17">
      <w:pPr>
        <w:pStyle w:val="a3"/>
        <w:ind w:left="2062"/>
        <w:rPr>
          <w:rFonts w:asciiTheme="majorHAnsi" w:eastAsia="Times New Roman" w:hAnsiTheme="majorHAnsi" w:cstheme="majorBidi"/>
          <w:b/>
          <w:bCs/>
          <w:color w:val="365F91" w:themeColor="accent1" w:themeShade="BF"/>
          <w:sz w:val="28"/>
          <w:szCs w:val="28"/>
          <w:lang w:eastAsia="el-GR"/>
        </w:rPr>
      </w:pPr>
      <w:r w:rsidRPr="00A4455A">
        <w:rPr>
          <w:rFonts w:asciiTheme="majorHAnsi" w:eastAsia="Times New Roman" w:hAnsiTheme="majorHAnsi" w:cstheme="majorBidi"/>
          <w:b/>
          <w:bCs/>
          <w:color w:val="365F91" w:themeColor="accent1" w:themeShade="BF"/>
          <w:sz w:val="28"/>
          <w:szCs w:val="28"/>
          <w:lang w:eastAsia="el-GR"/>
        </w:rPr>
        <w:t>*</w:t>
      </w:r>
      <w:r w:rsidRPr="00732A17">
        <w:rPr>
          <w:rFonts w:asciiTheme="majorHAnsi" w:eastAsia="Times New Roman" w:hAnsiTheme="majorHAnsi" w:cstheme="majorBidi"/>
          <w:b/>
          <w:bCs/>
          <w:color w:val="365F91" w:themeColor="accent1" w:themeShade="BF"/>
          <w:sz w:val="28"/>
          <w:szCs w:val="28"/>
          <w:lang w:eastAsia="el-GR"/>
        </w:rPr>
        <w:t>Οι αυτοκόλλητες ταινίες γνησιότητας (κουπόνια) των υλικών να επικολλώνται υποχρεωτικά στο πίσω μέρος της εντολής κατά τρόπο αντίστοιχο με αυτόν της εκτέλεσης συνταγής φαρμάκων.</w:t>
      </w:r>
    </w:p>
    <w:p w:rsidR="00732A17" w:rsidRPr="00732A17" w:rsidRDefault="00732A17" w:rsidP="00732A17">
      <w:pPr>
        <w:pStyle w:val="a3"/>
        <w:ind w:left="2062"/>
        <w:rPr>
          <w:rFonts w:asciiTheme="majorHAnsi" w:eastAsia="Times New Roman" w:hAnsiTheme="majorHAnsi" w:cstheme="majorBidi"/>
          <w:b/>
          <w:bCs/>
          <w:color w:val="365F91" w:themeColor="accent1" w:themeShade="BF"/>
          <w:sz w:val="28"/>
          <w:szCs w:val="28"/>
          <w:lang w:eastAsia="el-GR"/>
        </w:rPr>
      </w:pPr>
    </w:p>
    <w:p w:rsidR="00732A17" w:rsidRPr="00732A17" w:rsidRDefault="00732A17" w:rsidP="00732A17">
      <w:pPr>
        <w:pStyle w:val="a3"/>
        <w:numPr>
          <w:ilvl w:val="0"/>
          <w:numId w:val="19"/>
        </w:numPr>
        <w:rPr>
          <w:rFonts w:asciiTheme="majorHAnsi" w:eastAsia="Times New Roman" w:hAnsiTheme="majorHAnsi" w:cstheme="majorBidi"/>
          <w:b/>
          <w:bCs/>
          <w:color w:val="365F91" w:themeColor="accent1" w:themeShade="BF"/>
          <w:sz w:val="28"/>
          <w:szCs w:val="28"/>
          <w:lang w:eastAsia="el-GR"/>
        </w:rPr>
      </w:pPr>
      <w:r w:rsidRPr="00732A17">
        <w:rPr>
          <w:rFonts w:asciiTheme="majorHAnsi" w:eastAsia="Times New Roman" w:hAnsiTheme="majorHAnsi" w:cstheme="majorBidi"/>
          <w:b/>
          <w:bCs/>
          <w:color w:val="365F91" w:themeColor="accent1" w:themeShade="BF"/>
          <w:sz w:val="28"/>
          <w:szCs w:val="28"/>
          <w:lang w:eastAsia="el-GR"/>
        </w:rPr>
        <w:t>Επισυναπτόμενο (σε κάθε εντολή) Αντίγραφο ιατρικής γνωμάτευσης θεράποντος ιατρού (ειδικού) στην οποία θα αναγράφεται ο τύπος του διαβήτη, το είδος και η ποσότητα των ανά μήνα απαιτούμενων αναλώσιμων (ΧΩΡΙΣ ΕΜΠΟΡΙΚΕΣ ΟΝΟΜΑΣΙΕΣ) και η χρονική διάρκεια ισχύος της.</w:t>
      </w:r>
    </w:p>
    <w:p w:rsidR="00732A17" w:rsidRDefault="00732A17" w:rsidP="00732A17">
      <w:pPr>
        <w:pStyle w:val="1"/>
        <w:spacing w:before="0"/>
        <w:ind w:left="2062"/>
        <w:rPr>
          <w:rFonts w:eastAsia="Times New Roman"/>
          <w:lang w:eastAsia="el-GR"/>
        </w:rPr>
      </w:pPr>
    </w:p>
    <w:p w:rsidR="00732A17" w:rsidRDefault="007774E8" w:rsidP="00732A17">
      <w:pPr>
        <w:pStyle w:val="1"/>
        <w:numPr>
          <w:ilvl w:val="0"/>
          <w:numId w:val="19"/>
        </w:numPr>
        <w:spacing w:before="0"/>
        <w:rPr>
          <w:rFonts w:eastAsia="Times New Roman" w:cs="Times New Roman"/>
          <w:lang w:eastAsia="el-GR"/>
        </w:rPr>
      </w:pPr>
      <w:r w:rsidRPr="00732A17">
        <w:rPr>
          <w:rFonts w:eastAsia="Times New Roman"/>
          <w:lang w:eastAsia="el-GR"/>
        </w:rPr>
        <w:t>Σ</w:t>
      </w:r>
      <w:r w:rsidRPr="00732A17">
        <w:rPr>
          <w:rFonts w:asciiTheme="minorHAnsi" w:eastAsia="Times New Roman" w:hAnsiTheme="minorHAnsi"/>
          <w:lang w:eastAsia="el-GR"/>
        </w:rPr>
        <w:t>υγκεντρωτική</w:t>
      </w:r>
      <w:r w:rsidRPr="00732A17">
        <w:rPr>
          <w:rFonts w:eastAsia="Times New Roman" w:cs="Times New Roman"/>
          <w:lang w:eastAsia="el-GR"/>
        </w:rPr>
        <w:t xml:space="preserve"> κατάσταση δαπάνης συνταγών</w:t>
      </w:r>
      <w:r w:rsidR="009A4764" w:rsidRPr="00732A17">
        <w:rPr>
          <w:rFonts w:eastAsia="Times New Roman" w:cs="Times New Roman"/>
          <w:lang w:eastAsia="el-GR"/>
        </w:rPr>
        <w:t xml:space="preserve"> αναλωσίμων</w:t>
      </w:r>
      <w:r w:rsidRPr="00732A17">
        <w:rPr>
          <w:rFonts w:eastAsia="Times New Roman" w:cs="Times New Roman"/>
          <w:lang w:eastAsia="el-GR"/>
        </w:rPr>
        <w:t> (</w:t>
      </w:r>
      <w:r w:rsidRPr="00732A17">
        <w:rPr>
          <w:rFonts w:asciiTheme="minorHAnsi" w:eastAsia="Times New Roman" w:hAnsiTheme="minorHAnsi"/>
          <w:lang w:eastAsia="el-GR"/>
        </w:rPr>
        <w:t xml:space="preserve">είτε από το </w:t>
      </w:r>
      <w:proofErr w:type="spellStart"/>
      <w:r w:rsidRPr="00732A17">
        <w:rPr>
          <w:rFonts w:asciiTheme="minorHAnsi" w:eastAsia="Times New Roman" w:hAnsiTheme="minorHAnsi"/>
          <w:lang w:eastAsia="el-GR"/>
        </w:rPr>
        <w:t>farmakon</w:t>
      </w:r>
      <w:proofErr w:type="spellEnd"/>
      <w:r w:rsidRPr="00732A17">
        <w:rPr>
          <w:rFonts w:asciiTheme="minorHAnsi" w:eastAsia="Times New Roman" w:hAnsiTheme="minorHAnsi"/>
          <w:lang w:eastAsia="el-GR"/>
        </w:rPr>
        <w:t>, είτε </w:t>
      </w:r>
      <w:hyperlink r:id="rId8" w:tgtFrame="_blank" w:history="1">
        <w:r w:rsidRPr="00732A17">
          <w:rPr>
            <w:rFonts w:asciiTheme="minorHAnsi" w:eastAsia="Times New Roman" w:hAnsiTheme="minorHAnsi"/>
            <w:lang w:eastAsia="el-GR"/>
          </w:rPr>
          <w:t>χειρόγραφη</w:t>
        </w:r>
      </w:hyperlink>
      <w:r w:rsidRPr="00732A17">
        <w:rPr>
          <w:rFonts w:eastAsia="Times New Roman"/>
          <w:lang w:eastAsia="el-GR"/>
        </w:rPr>
        <w:t xml:space="preserve">) </w:t>
      </w:r>
      <w:r w:rsidRPr="00732A17">
        <w:rPr>
          <w:rFonts w:eastAsia="Times New Roman" w:cs="Times New Roman"/>
          <w:lang w:eastAsia="el-GR"/>
        </w:rPr>
        <w:t xml:space="preserve">σε </w:t>
      </w:r>
      <w:r w:rsidRPr="00732A17">
        <w:rPr>
          <w:rFonts w:eastAsia="Times New Roman" w:cs="Times New Roman"/>
          <w:u w:val="single"/>
          <w:lang w:eastAsia="el-GR"/>
        </w:rPr>
        <w:t>τρία αντίτυπα</w:t>
      </w:r>
      <w:r w:rsidRPr="00732A17">
        <w:rPr>
          <w:rFonts w:eastAsia="Times New Roman" w:cs="Times New Roman"/>
          <w:lang w:eastAsia="el-GR"/>
        </w:rPr>
        <w:t xml:space="preserve"> (με σφραγίδα &amp; υπογραφή).</w:t>
      </w:r>
    </w:p>
    <w:p w:rsidR="00732A17" w:rsidRPr="00732A17" w:rsidRDefault="00732A17" w:rsidP="00732A17">
      <w:pPr>
        <w:rPr>
          <w:lang w:eastAsia="el-GR"/>
        </w:rPr>
      </w:pPr>
    </w:p>
    <w:p w:rsidR="00EE492E" w:rsidRDefault="007774E8" w:rsidP="00EE492E">
      <w:pPr>
        <w:pStyle w:val="1"/>
        <w:numPr>
          <w:ilvl w:val="0"/>
          <w:numId w:val="19"/>
        </w:numPr>
        <w:spacing w:before="0"/>
        <w:rPr>
          <w:rFonts w:eastAsia="Times New Roman" w:cs="Times New Roman"/>
          <w:lang w:eastAsia="el-GR"/>
        </w:rPr>
      </w:pPr>
      <w:r w:rsidRPr="00732A17">
        <w:rPr>
          <w:rFonts w:eastAsia="Times New Roman" w:cs="Times New Roman"/>
          <w:lang w:eastAsia="el-GR"/>
        </w:rPr>
        <w:t>Τιμολόγιο (θα φέρει την ένδειξη «ΕΞΟΦΛΗΘΗ» σε χειρόγραφο τιμολόγιο ή εξοφλητική απόδειξη για όσους</w:t>
      </w:r>
      <w:r w:rsidR="00732A17">
        <w:rPr>
          <w:rFonts w:eastAsia="Times New Roman" w:cs="Times New Roman"/>
          <w:lang w:eastAsia="el-GR"/>
        </w:rPr>
        <w:t xml:space="preserve"> εκδίδουν ηλεκτρονικό τιμολόγιο</w:t>
      </w:r>
      <w:r w:rsidR="00EE492E">
        <w:rPr>
          <w:rFonts w:eastAsia="Times New Roman" w:cs="Times New Roman"/>
          <w:lang w:eastAsia="el-GR"/>
        </w:rPr>
        <w:t>).</w:t>
      </w:r>
    </w:p>
    <w:p w:rsidR="00EE492E" w:rsidRPr="00EE492E" w:rsidRDefault="00EE492E" w:rsidP="00EE492E">
      <w:pPr>
        <w:rPr>
          <w:lang w:eastAsia="el-GR"/>
        </w:rPr>
      </w:pPr>
    </w:p>
    <w:p w:rsidR="007774E8" w:rsidRPr="00EE492E" w:rsidRDefault="007774E8" w:rsidP="00EE492E">
      <w:pPr>
        <w:pStyle w:val="1"/>
        <w:numPr>
          <w:ilvl w:val="0"/>
          <w:numId w:val="19"/>
        </w:numPr>
        <w:spacing w:before="0"/>
        <w:rPr>
          <w:rFonts w:eastAsia="Times New Roman" w:cs="Times New Roman"/>
          <w:lang w:eastAsia="el-GR"/>
        </w:rPr>
      </w:pPr>
      <w:r w:rsidRPr="00EE492E">
        <w:rPr>
          <w:rFonts w:eastAsia="Times New Roman"/>
          <w:lang w:eastAsia="el-GR"/>
        </w:rPr>
        <w:t>Φορολογική Ενημερότητα (για ποσά άνω των 1.496€)</w:t>
      </w:r>
    </w:p>
    <w:p w:rsidR="00886E9C" w:rsidRPr="00886E9C" w:rsidRDefault="00886E9C" w:rsidP="00DA0ADF">
      <w:pPr>
        <w:spacing w:before="15" w:after="15" w:line="240" w:lineRule="auto"/>
        <w:jc w:val="center"/>
        <w:rPr>
          <w:rFonts w:eastAsia="Times New Roman" w:cs="Times New Roman"/>
          <w:b/>
          <w:bCs/>
          <w:color w:val="000000"/>
          <w:sz w:val="26"/>
          <w:szCs w:val="26"/>
          <w:u w:val="single"/>
          <w:shd w:val="clear" w:color="auto" w:fill="FFFFFF"/>
          <w:lang w:eastAsia="el-GR"/>
        </w:rPr>
      </w:pPr>
    </w:p>
    <w:p w:rsidR="00886E9C" w:rsidRPr="00304191" w:rsidRDefault="00886E9C">
      <w:pPr>
        <w:rPr>
          <w:sz w:val="26"/>
          <w:szCs w:val="26"/>
        </w:rPr>
      </w:pPr>
    </w:p>
    <w:sectPr w:rsidR="00886E9C" w:rsidRPr="00304191" w:rsidSect="00304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46"/>
    <w:multiLevelType w:val="hybridMultilevel"/>
    <w:tmpl w:val="E8AA53EE"/>
    <w:lvl w:ilvl="0" w:tplc="04080011">
      <w:start w:val="1"/>
      <w:numFmt w:val="decimal"/>
      <w:lvlText w:val="%1)"/>
      <w:lvlJc w:val="left"/>
      <w:pPr>
        <w:ind w:left="720" w:hanging="360"/>
      </w:pPr>
    </w:lvl>
    <w:lvl w:ilvl="1" w:tplc="04080011">
      <w:start w:val="1"/>
      <w:numFmt w:val="decimal"/>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D46C91"/>
    <w:multiLevelType w:val="multilevel"/>
    <w:tmpl w:val="117C26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rPr>
    </w:lvl>
    <w:lvl w:ilvl="2">
      <w:start w:val="1"/>
      <mc:AlternateContent>
        <mc:Choice Requires="w14">
          <w:numFmt w:val="custom" w:format="α, β, γ, ..."/>
        </mc:Choice>
        <mc:Fallback>
          <w:numFmt w:val="decimal"/>
        </mc:Fallback>
      </mc:AlternateContent>
      <w:lvlText w:val="%3."/>
      <w:lvlJc w:val="left"/>
      <w:pPr>
        <w:tabs>
          <w:tab w:val="num" w:pos="2160"/>
        </w:tabs>
        <w:ind w:left="2160" w:hanging="360"/>
      </w:pPr>
      <w:rPr>
        <w:rFonts w:hint="default"/>
      </w:rPr>
    </w:lvl>
    <w:lvl w:ilvl="3">
      <w:start w:val="3"/>
      <w:numFmt w:val="bullet"/>
      <w:lvlText w:val="-"/>
      <w:lvlJc w:val="left"/>
      <w:pPr>
        <w:ind w:left="2880" w:hanging="360"/>
      </w:pPr>
      <w:rPr>
        <w:rFonts w:ascii="Calibri" w:eastAsiaTheme="minorHAnsi" w:hAnsi="Calibri" w:cstheme="minorBid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022AE"/>
    <w:multiLevelType w:val="hybridMultilevel"/>
    <w:tmpl w:val="43C4198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162688"/>
    <w:multiLevelType w:val="multilevel"/>
    <w:tmpl w:val="D84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D5F56"/>
    <w:multiLevelType w:val="multilevel"/>
    <w:tmpl w:val="5820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87386"/>
    <w:multiLevelType w:val="hybridMultilevel"/>
    <w:tmpl w:val="472267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17B7C7A"/>
    <w:multiLevelType w:val="multilevel"/>
    <w:tmpl w:val="5190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D7DFB"/>
    <w:multiLevelType w:val="multilevel"/>
    <w:tmpl w:val="585E70B6"/>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C9094A"/>
    <w:multiLevelType w:val="multilevel"/>
    <w:tmpl w:val="2010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333945"/>
    <w:multiLevelType w:val="hybridMultilevel"/>
    <w:tmpl w:val="905EF8C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E99016C"/>
    <w:multiLevelType w:val="hybridMultilevel"/>
    <w:tmpl w:val="5AC8109E"/>
    <w:lvl w:ilvl="0" w:tplc="65249D8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0E2220C"/>
    <w:multiLevelType w:val="hybridMultilevel"/>
    <w:tmpl w:val="CB8A13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62516FC"/>
    <w:multiLevelType w:val="hybridMultilevel"/>
    <w:tmpl w:val="35602918"/>
    <w:lvl w:ilvl="0" w:tplc="17C66EEE">
      <w:start w:val="1"/>
      <mc:AlternateContent>
        <mc:Choice Requires="w14">
          <w:numFmt w:val="custom" w:format="α, β, γ, ..."/>
        </mc:Choice>
        <mc:Fallback>
          <w:numFmt w:val="decimal"/>
        </mc:Fallback>
      </mc:AlternateContent>
      <w:lvlText w:val="%1."/>
      <w:lvlJc w:val="left"/>
      <w:pPr>
        <w:ind w:left="1505" w:hanging="360"/>
      </w:pPr>
      <w:rPr>
        <w:rFonts w:hint="default"/>
      </w:rPr>
    </w:lvl>
    <w:lvl w:ilvl="1" w:tplc="FE5231DA">
      <w:start w:val="1"/>
      <w:numFmt w:val="decimal"/>
      <w:lvlText w:val="(%2)"/>
      <w:lvlJc w:val="left"/>
      <w:pPr>
        <w:ind w:left="2270" w:hanging="405"/>
      </w:pPr>
      <w:rPr>
        <w:rFonts w:hint="default"/>
      </w:r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13">
    <w:nsid w:val="588B2714"/>
    <w:multiLevelType w:val="multilevel"/>
    <w:tmpl w:val="DEF6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A261D"/>
    <w:multiLevelType w:val="hybridMultilevel"/>
    <w:tmpl w:val="B48A8F26"/>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60BB2790"/>
    <w:multiLevelType w:val="hybridMultilevel"/>
    <w:tmpl w:val="EE2CCB8C"/>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14013DD"/>
    <w:multiLevelType w:val="hybridMultilevel"/>
    <w:tmpl w:val="1A2A2794"/>
    <w:lvl w:ilvl="0" w:tplc="A204E36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5DD2AA5"/>
    <w:multiLevelType w:val="multilevel"/>
    <w:tmpl w:val="8584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BE1A1C"/>
    <w:multiLevelType w:val="hybridMultilevel"/>
    <w:tmpl w:val="AE161A44"/>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74BA61B5"/>
    <w:multiLevelType w:val="hybridMultilevel"/>
    <w:tmpl w:val="43C41988"/>
    <w:lvl w:ilvl="0" w:tplc="04080011">
      <w:start w:val="1"/>
      <w:numFmt w:val="decimal"/>
      <w:lvlText w:val="%1)"/>
      <w:lvlJc w:val="left"/>
      <w:pPr>
        <w:ind w:left="1212" w:hanging="360"/>
      </w:pPr>
    </w:lvl>
    <w:lvl w:ilvl="1" w:tplc="04080019" w:tentative="1">
      <w:start w:val="1"/>
      <w:numFmt w:val="lowerLetter"/>
      <w:lvlText w:val="%2."/>
      <w:lvlJc w:val="left"/>
      <w:pPr>
        <w:ind w:left="590" w:hanging="360"/>
      </w:pPr>
    </w:lvl>
    <w:lvl w:ilvl="2" w:tplc="0408001B" w:tentative="1">
      <w:start w:val="1"/>
      <w:numFmt w:val="lowerRoman"/>
      <w:lvlText w:val="%3."/>
      <w:lvlJc w:val="right"/>
      <w:pPr>
        <w:ind w:left="1310" w:hanging="180"/>
      </w:pPr>
    </w:lvl>
    <w:lvl w:ilvl="3" w:tplc="0408000F" w:tentative="1">
      <w:start w:val="1"/>
      <w:numFmt w:val="decimal"/>
      <w:lvlText w:val="%4."/>
      <w:lvlJc w:val="left"/>
      <w:pPr>
        <w:ind w:left="2030" w:hanging="360"/>
      </w:pPr>
    </w:lvl>
    <w:lvl w:ilvl="4" w:tplc="04080019" w:tentative="1">
      <w:start w:val="1"/>
      <w:numFmt w:val="lowerLetter"/>
      <w:lvlText w:val="%5."/>
      <w:lvlJc w:val="left"/>
      <w:pPr>
        <w:ind w:left="2750" w:hanging="360"/>
      </w:pPr>
    </w:lvl>
    <w:lvl w:ilvl="5" w:tplc="0408001B" w:tentative="1">
      <w:start w:val="1"/>
      <w:numFmt w:val="lowerRoman"/>
      <w:lvlText w:val="%6."/>
      <w:lvlJc w:val="right"/>
      <w:pPr>
        <w:ind w:left="3470" w:hanging="180"/>
      </w:pPr>
    </w:lvl>
    <w:lvl w:ilvl="6" w:tplc="0408000F" w:tentative="1">
      <w:start w:val="1"/>
      <w:numFmt w:val="decimal"/>
      <w:lvlText w:val="%7."/>
      <w:lvlJc w:val="left"/>
      <w:pPr>
        <w:ind w:left="4190" w:hanging="360"/>
      </w:pPr>
    </w:lvl>
    <w:lvl w:ilvl="7" w:tplc="04080019" w:tentative="1">
      <w:start w:val="1"/>
      <w:numFmt w:val="lowerLetter"/>
      <w:lvlText w:val="%8."/>
      <w:lvlJc w:val="left"/>
      <w:pPr>
        <w:ind w:left="4910" w:hanging="360"/>
      </w:pPr>
    </w:lvl>
    <w:lvl w:ilvl="8" w:tplc="0408001B" w:tentative="1">
      <w:start w:val="1"/>
      <w:numFmt w:val="lowerRoman"/>
      <w:lvlText w:val="%9."/>
      <w:lvlJc w:val="right"/>
      <w:pPr>
        <w:ind w:left="5630" w:hanging="180"/>
      </w:pPr>
    </w:lvl>
  </w:abstractNum>
  <w:abstractNum w:abstractNumId="20">
    <w:nsid w:val="75226314"/>
    <w:multiLevelType w:val="multilevel"/>
    <w:tmpl w:val="930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8"/>
  </w:num>
  <w:num w:numId="5">
    <w:abstractNumId w:val="20"/>
  </w:num>
  <w:num w:numId="6">
    <w:abstractNumId w:val="17"/>
  </w:num>
  <w:num w:numId="7">
    <w:abstractNumId w:val="6"/>
  </w:num>
  <w:num w:numId="8">
    <w:abstractNumId w:val="3"/>
  </w:num>
  <w:num w:numId="9">
    <w:abstractNumId w:val="13"/>
  </w:num>
  <w:num w:numId="10">
    <w:abstractNumId w:val="16"/>
  </w:num>
  <w:num w:numId="11">
    <w:abstractNumId w:val="10"/>
  </w:num>
  <w:num w:numId="12">
    <w:abstractNumId w:val="12"/>
  </w:num>
  <w:num w:numId="13">
    <w:abstractNumId w:val="15"/>
  </w:num>
  <w:num w:numId="14">
    <w:abstractNumId w:val="0"/>
  </w:num>
  <w:num w:numId="15">
    <w:abstractNumId w:val="9"/>
  </w:num>
  <w:num w:numId="16">
    <w:abstractNumId w:val="2"/>
  </w:num>
  <w:num w:numId="17">
    <w:abstractNumId w:val="18"/>
  </w:num>
  <w:num w:numId="18">
    <w:abstractNumId w:val="14"/>
  </w:num>
  <w:num w:numId="19">
    <w:abstractNumId w:val="19"/>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C0"/>
    <w:rsid w:val="00015904"/>
    <w:rsid w:val="0006101C"/>
    <w:rsid w:val="000D6D20"/>
    <w:rsid w:val="000F1FCC"/>
    <w:rsid w:val="0024281B"/>
    <w:rsid w:val="00304191"/>
    <w:rsid w:val="0071488D"/>
    <w:rsid w:val="00732A17"/>
    <w:rsid w:val="007774E8"/>
    <w:rsid w:val="00886E9C"/>
    <w:rsid w:val="008C1BA4"/>
    <w:rsid w:val="008C1E2C"/>
    <w:rsid w:val="009A4764"/>
    <w:rsid w:val="00A4455A"/>
    <w:rsid w:val="00A713A9"/>
    <w:rsid w:val="00A95A1C"/>
    <w:rsid w:val="00B076C0"/>
    <w:rsid w:val="00BC5B40"/>
    <w:rsid w:val="00BE4DF0"/>
    <w:rsid w:val="00C81DAA"/>
    <w:rsid w:val="00D211B8"/>
    <w:rsid w:val="00DA0ADF"/>
    <w:rsid w:val="00DD3633"/>
    <w:rsid w:val="00E47EF0"/>
    <w:rsid w:val="00EE49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C5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9C"/>
    <w:pPr>
      <w:ind w:left="720"/>
      <w:contextualSpacing/>
    </w:pPr>
  </w:style>
  <w:style w:type="paragraph" w:customStyle="1" w:styleId="para3">
    <w:name w:val="para3"/>
    <w:basedOn w:val="a"/>
    <w:rsid w:val="000F1FCC"/>
    <w:pPr>
      <w:widowControl w:val="0"/>
      <w:tabs>
        <w:tab w:val="left" w:pos="986"/>
        <w:tab w:val="left" w:pos="1462"/>
      </w:tabs>
      <w:spacing w:before="120" w:after="0" w:line="240" w:lineRule="auto"/>
      <w:ind w:firstLine="2160"/>
    </w:pPr>
    <w:rPr>
      <w:rFonts w:ascii="Arial" w:eastAsia="Times New Roman" w:hAnsi="Arial" w:cs="Arial"/>
      <w:sz w:val="24"/>
      <w:szCs w:val="24"/>
      <w:lang w:eastAsia="el-GR"/>
    </w:rPr>
  </w:style>
  <w:style w:type="character" w:styleId="-">
    <w:name w:val="Hyperlink"/>
    <w:basedOn w:val="a0"/>
    <w:uiPriority w:val="99"/>
    <w:unhideWhenUsed/>
    <w:rsid w:val="00D211B8"/>
    <w:rPr>
      <w:color w:val="0000FF" w:themeColor="hyperlink"/>
      <w:u w:val="single"/>
    </w:rPr>
  </w:style>
  <w:style w:type="paragraph" w:styleId="a4">
    <w:name w:val="Title"/>
    <w:basedOn w:val="a"/>
    <w:next w:val="a"/>
    <w:link w:val="Char"/>
    <w:uiPriority w:val="10"/>
    <w:qFormat/>
    <w:rsid w:val="00BC5B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BC5B40"/>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BC5B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C5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9C"/>
    <w:pPr>
      <w:ind w:left="720"/>
      <w:contextualSpacing/>
    </w:pPr>
  </w:style>
  <w:style w:type="paragraph" w:customStyle="1" w:styleId="para3">
    <w:name w:val="para3"/>
    <w:basedOn w:val="a"/>
    <w:rsid w:val="000F1FCC"/>
    <w:pPr>
      <w:widowControl w:val="0"/>
      <w:tabs>
        <w:tab w:val="left" w:pos="986"/>
        <w:tab w:val="left" w:pos="1462"/>
      </w:tabs>
      <w:spacing w:before="120" w:after="0" w:line="240" w:lineRule="auto"/>
      <w:ind w:firstLine="2160"/>
    </w:pPr>
    <w:rPr>
      <w:rFonts w:ascii="Arial" w:eastAsia="Times New Roman" w:hAnsi="Arial" w:cs="Arial"/>
      <w:sz w:val="24"/>
      <w:szCs w:val="24"/>
      <w:lang w:eastAsia="el-GR"/>
    </w:rPr>
  </w:style>
  <w:style w:type="character" w:styleId="-">
    <w:name w:val="Hyperlink"/>
    <w:basedOn w:val="a0"/>
    <w:uiPriority w:val="99"/>
    <w:unhideWhenUsed/>
    <w:rsid w:val="00D211B8"/>
    <w:rPr>
      <w:color w:val="0000FF" w:themeColor="hyperlink"/>
      <w:u w:val="single"/>
    </w:rPr>
  </w:style>
  <w:style w:type="paragraph" w:styleId="a4">
    <w:name w:val="Title"/>
    <w:basedOn w:val="a"/>
    <w:next w:val="a"/>
    <w:link w:val="Char"/>
    <w:uiPriority w:val="10"/>
    <w:qFormat/>
    <w:rsid w:val="00BC5B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BC5B40"/>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BC5B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7874">
      <w:bodyDiv w:val="1"/>
      <w:marLeft w:val="0"/>
      <w:marRight w:val="0"/>
      <w:marTop w:val="0"/>
      <w:marBottom w:val="0"/>
      <w:divBdr>
        <w:top w:val="none" w:sz="0" w:space="0" w:color="auto"/>
        <w:left w:val="none" w:sz="0" w:space="0" w:color="auto"/>
        <w:bottom w:val="none" w:sz="0" w:space="0" w:color="auto"/>
        <w:right w:val="none" w:sz="0" w:space="0" w:color="auto"/>
      </w:divBdr>
    </w:div>
    <w:div w:id="275647698">
      <w:bodyDiv w:val="1"/>
      <w:marLeft w:val="0"/>
      <w:marRight w:val="0"/>
      <w:marTop w:val="0"/>
      <w:marBottom w:val="0"/>
      <w:divBdr>
        <w:top w:val="none" w:sz="0" w:space="0" w:color="auto"/>
        <w:left w:val="none" w:sz="0" w:space="0" w:color="auto"/>
        <w:bottom w:val="none" w:sz="0" w:space="0" w:color="auto"/>
        <w:right w:val="none" w:sz="0" w:space="0" w:color="auto"/>
      </w:divBdr>
    </w:div>
    <w:div w:id="281964736">
      <w:bodyDiv w:val="1"/>
      <w:marLeft w:val="0"/>
      <w:marRight w:val="0"/>
      <w:marTop w:val="0"/>
      <w:marBottom w:val="0"/>
      <w:divBdr>
        <w:top w:val="none" w:sz="0" w:space="0" w:color="auto"/>
        <w:left w:val="none" w:sz="0" w:space="0" w:color="auto"/>
        <w:bottom w:val="none" w:sz="0" w:space="0" w:color="auto"/>
        <w:right w:val="none" w:sz="0" w:space="0" w:color="auto"/>
      </w:divBdr>
    </w:div>
    <w:div w:id="847137845">
      <w:bodyDiv w:val="1"/>
      <w:marLeft w:val="0"/>
      <w:marRight w:val="0"/>
      <w:marTop w:val="0"/>
      <w:marBottom w:val="0"/>
      <w:divBdr>
        <w:top w:val="none" w:sz="0" w:space="0" w:color="auto"/>
        <w:left w:val="none" w:sz="0" w:space="0" w:color="auto"/>
        <w:bottom w:val="none" w:sz="0" w:space="0" w:color="auto"/>
        <w:right w:val="none" w:sz="0" w:space="0" w:color="auto"/>
      </w:divBdr>
    </w:div>
    <w:div w:id="860388952">
      <w:bodyDiv w:val="1"/>
      <w:marLeft w:val="0"/>
      <w:marRight w:val="0"/>
      <w:marTop w:val="0"/>
      <w:marBottom w:val="0"/>
      <w:divBdr>
        <w:top w:val="none" w:sz="0" w:space="0" w:color="auto"/>
        <w:left w:val="none" w:sz="0" w:space="0" w:color="auto"/>
        <w:bottom w:val="none" w:sz="0" w:space="0" w:color="auto"/>
        <w:right w:val="none" w:sz="0" w:space="0" w:color="auto"/>
      </w:divBdr>
    </w:div>
    <w:div w:id="962616995">
      <w:bodyDiv w:val="1"/>
      <w:marLeft w:val="0"/>
      <w:marRight w:val="0"/>
      <w:marTop w:val="0"/>
      <w:marBottom w:val="0"/>
      <w:divBdr>
        <w:top w:val="none" w:sz="0" w:space="0" w:color="auto"/>
        <w:left w:val="none" w:sz="0" w:space="0" w:color="auto"/>
        <w:bottom w:val="none" w:sz="0" w:space="0" w:color="auto"/>
        <w:right w:val="none" w:sz="0" w:space="0" w:color="auto"/>
      </w:divBdr>
    </w:div>
    <w:div w:id="1305508111">
      <w:bodyDiv w:val="1"/>
      <w:marLeft w:val="0"/>
      <w:marRight w:val="0"/>
      <w:marTop w:val="0"/>
      <w:marBottom w:val="0"/>
      <w:divBdr>
        <w:top w:val="none" w:sz="0" w:space="0" w:color="auto"/>
        <w:left w:val="none" w:sz="0" w:space="0" w:color="auto"/>
        <w:bottom w:val="none" w:sz="0" w:space="0" w:color="auto"/>
        <w:right w:val="none" w:sz="0" w:space="0" w:color="auto"/>
      </w:divBdr>
    </w:div>
    <w:div w:id="1524202516">
      <w:bodyDiv w:val="1"/>
      <w:marLeft w:val="0"/>
      <w:marRight w:val="0"/>
      <w:marTop w:val="0"/>
      <w:marBottom w:val="0"/>
      <w:divBdr>
        <w:top w:val="none" w:sz="0" w:space="0" w:color="auto"/>
        <w:left w:val="none" w:sz="0" w:space="0" w:color="auto"/>
        <w:bottom w:val="none" w:sz="0" w:space="0" w:color="auto"/>
        <w:right w:val="none" w:sz="0" w:space="0" w:color="auto"/>
      </w:divBdr>
    </w:div>
    <w:div w:id="1943298756">
      <w:bodyDiv w:val="1"/>
      <w:marLeft w:val="0"/>
      <w:marRight w:val="0"/>
      <w:marTop w:val="0"/>
      <w:marBottom w:val="0"/>
      <w:divBdr>
        <w:top w:val="none" w:sz="0" w:space="0" w:color="auto"/>
        <w:left w:val="none" w:sz="0" w:space="0" w:color="auto"/>
        <w:bottom w:val="none" w:sz="0" w:space="0" w:color="auto"/>
        <w:right w:val="none" w:sz="0" w:space="0" w:color="auto"/>
      </w:divBdr>
    </w:div>
    <w:div w:id="2033804154">
      <w:bodyDiv w:val="1"/>
      <w:marLeft w:val="0"/>
      <w:marRight w:val="0"/>
      <w:marTop w:val="0"/>
      <w:marBottom w:val="0"/>
      <w:divBdr>
        <w:top w:val="none" w:sz="0" w:space="0" w:color="auto"/>
        <w:left w:val="none" w:sz="0" w:space="0" w:color="auto"/>
        <w:bottom w:val="none" w:sz="0" w:space="0" w:color="auto"/>
        <w:right w:val="none" w:sz="0" w:space="0" w:color="auto"/>
      </w:divBdr>
    </w:div>
    <w:div w:id="2059744599">
      <w:bodyDiv w:val="1"/>
      <w:marLeft w:val="0"/>
      <w:marRight w:val="0"/>
      <w:marTop w:val="0"/>
      <w:marBottom w:val="0"/>
      <w:divBdr>
        <w:top w:val="none" w:sz="0" w:space="0" w:color="auto"/>
        <w:left w:val="none" w:sz="0" w:space="0" w:color="auto"/>
        <w:bottom w:val="none" w:sz="0" w:space="0" w:color="auto"/>
        <w:right w:val="none" w:sz="0" w:space="0" w:color="auto"/>
      </w:divBdr>
    </w:div>
    <w:div w:id="21225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x.gr/wp-content/uploads/2020/loipatameia/1katastasisintagongea.xls" TargetMode="External"/><Relationship Id="rId3" Type="http://schemas.microsoft.com/office/2007/relationships/stylesWithEffects" Target="stylesWithEffects.xml"/><Relationship Id="rId7" Type="http://schemas.openxmlformats.org/officeDocument/2006/relationships/hyperlink" Target="https://fsax.gr/wp-content/uploads/2020/loipatameia/1katastasisintagongea.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ax.gr/wp-content/uploads/2020/07/SIS_Liksi_Paratasi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1623</Words>
  <Characters>8765</Characters>
  <Application>Microsoft Office Word</Application>
  <DocSecurity>0</DocSecurity>
  <Lines>73</Lines>
  <Paragraphs>20</Paragraphs>
  <ScaleCrop>false</ScaleCrop>
  <HeadingPairs>
    <vt:vector size="4" baseType="variant">
      <vt:variant>
        <vt:lpstr>Τίτλος</vt:lpstr>
      </vt:variant>
      <vt:variant>
        <vt:i4>1</vt:i4>
      </vt:variant>
      <vt:variant>
        <vt:lpstr>Επικεφαλίδες</vt:lpstr>
      </vt:variant>
      <vt:variant>
        <vt:i4>13</vt:i4>
      </vt:variant>
    </vt:vector>
  </HeadingPairs>
  <TitlesOfParts>
    <vt:vector size="14" baseType="lpstr">
      <vt:lpstr/>
      <vt:lpstr>ΟΔΗΓΙΕΣ ΓΙΑ ΣΩΣΤΗ ΕΚΤΕΛΕΣΗ ΚΑΙ ΥΠΟΒΟΛΗ ΣΥΝΤΑΓΩΝ  ΣΤΡΑΤΙΩΤΙΚΩΝ ΤΑΜΕΙΩΝ</vt:lpstr>
      <vt:lpstr>Αίτηση Φαρμακείου (βλ. επισυναπτόμενο έγγραφο) </vt:lpstr>
      <vt:lpstr/>
      <vt:lpstr>Συγκεντρωτική κατάσταση δαπάνης συνταγών (είτε από το farmakon, είτε χειρόγραφη)</vt:lpstr>
      <vt:lpstr/>
      <vt:lpstr>Τιμολόγιο (θα φέρει την ένδειξη «ΕΞΟΦΛΗΘΗ» σε χειρόγραφο τιμολόγιο ή εξοφλητική </vt:lpstr>
      <vt:lpstr/>
      <vt:lpstr>Φορολογική Ενημερότητα (για ποσά άνω των 1.496€)</vt:lpstr>
      <vt:lpstr>Αίτηση Φαρμακείου (βλ. επισυναπτόμενο έγγραφο) </vt:lpstr>
      <vt:lpstr/>
      <vt:lpstr>Συγκεντρωτική κατάσταση δαπάνης συνταγών αναλωσίμων (είτε από το farmakon, είτε </vt:lpstr>
      <vt:lpstr>Τιμολόγιο (θα φέρει την ένδειξη «ΕΞΟΦΛΗΘΗ» σε χειρόγραφο τιμολόγιο ή εξοφλητική </vt:lpstr>
      <vt:lpstr>Φορολογική Ενημερότητα (για ποσά άνω των 1.496€)</vt:lpstr>
    </vt:vector>
  </TitlesOfParts>
  <Company>Hewlett-Packard Company</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kentrikos</dc:creator>
  <cp:lastModifiedBy>kentrikos</cp:lastModifiedBy>
  <cp:revision>3</cp:revision>
  <dcterms:created xsi:type="dcterms:W3CDTF">2020-08-21T11:34:00Z</dcterms:created>
  <dcterms:modified xsi:type="dcterms:W3CDTF">2020-08-21T11:36:00Z</dcterms:modified>
</cp:coreProperties>
</file>